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8880F" w14:textId="77777777" w:rsidR="00CA2515" w:rsidRPr="005E64B5" w:rsidRDefault="00CA2515" w:rsidP="00CA2515">
      <w:pPr>
        <w:spacing w:after="0" w:line="276" w:lineRule="auto"/>
        <w:ind w:firstLine="709"/>
        <w:rPr>
          <w:rFonts w:cstheme="minorHAnsi"/>
          <w:sz w:val="24"/>
          <w:szCs w:val="24"/>
        </w:rPr>
      </w:pPr>
      <w:r w:rsidRPr="005E64B5">
        <w:rPr>
          <w:rFonts w:eastAsia="Times New Roman" w:cstheme="minorHAnsi"/>
          <w:sz w:val="24"/>
          <w:szCs w:val="24"/>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43987F0B" w14:textId="77777777" w:rsidR="00CA2515" w:rsidRPr="005E64B5" w:rsidRDefault="00CA2515" w:rsidP="00CA2515">
      <w:pPr>
        <w:spacing w:after="0" w:line="276" w:lineRule="auto"/>
        <w:ind w:firstLine="709"/>
        <w:rPr>
          <w:rFonts w:cstheme="minorHAnsi"/>
          <w:sz w:val="24"/>
          <w:szCs w:val="24"/>
        </w:rPr>
      </w:pPr>
      <w:r w:rsidRPr="005E64B5">
        <w:rPr>
          <w:rFonts w:eastAsia="Times New Roman" w:cstheme="minorHAnsi"/>
          <w:sz w:val="24"/>
          <w:szCs w:val="24"/>
          <w:lang w:val="lt"/>
        </w:rPr>
        <w:t xml:space="preserve">Vadovaujantis Tarnybai Įstatyme nustatyta pažeidimų prevencijos funkcija, šiuo metu atliekama </w:t>
      </w:r>
      <w:r w:rsidRPr="007622B5">
        <w:rPr>
          <w:rFonts w:cstheme="minorHAnsi"/>
          <w:b/>
          <w:bCs/>
          <w:spacing w:val="-2"/>
          <w:sz w:val="24"/>
          <w:szCs w:val="24"/>
        </w:rPr>
        <w:t>Šiaulių apskaitos centro</w:t>
      </w:r>
      <w:r w:rsidRPr="007622B5">
        <w:rPr>
          <w:rFonts w:cstheme="minorHAnsi"/>
          <w:b/>
          <w:bCs/>
          <w:spacing w:val="-2"/>
          <w:sz w:val="24"/>
          <w:szCs w:val="24"/>
          <w:vertAlign w:val="superscript"/>
        </w:rPr>
        <w:footnoteReference w:id="1"/>
      </w:r>
      <w:r w:rsidRPr="007622B5">
        <w:rPr>
          <w:rFonts w:cstheme="minorHAnsi"/>
          <w:b/>
          <w:bCs/>
          <w:spacing w:val="-2"/>
          <w:sz w:val="24"/>
          <w:szCs w:val="24"/>
        </w:rPr>
        <w:t xml:space="preserve"> </w:t>
      </w:r>
      <w:r w:rsidRPr="007622B5">
        <w:rPr>
          <w:rFonts w:cstheme="minorHAnsi"/>
          <w:sz w:val="24"/>
          <w:szCs w:val="24"/>
          <w:lang w:eastAsia="lt-LT"/>
        </w:rPr>
        <w:t>(toliau – Perkančioji organizacija) vykdomo pirkimo Nr.</w:t>
      </w:r>
      <w:r w:rsidRPr="007622B5">
        <w:rPr>
          <w:rFonts w:cstheme="minorHAnsi"/>
          <w:b/>
          <w:bCs/>
          <w:sz w:val="24"/>
          <w:szCs w:val="24"/>
          <w:lang w:eastAsia="lt-LT"/>
        </w:rPr>
        <w:t xml:space="preserve"> </w:t>
      </w:r>
      <w:r>
        <w:rPr>
          <w:rFonts w:cstheme="minorHAnsi"/>
          <w:b/>
          <w:bCs/>
          <w:sz w:val="24"/>
          <w:szCs w:val="24"/>
          <w:lang w:eastAsia="lt-LT"/>
        </w:rPr>
        <w:t>707821</w:t>
      </w:r>
      <w:r w:rsidRPr="007622B5">
        <w:rPr>
          <w:rFonts w:cstheme="minorHAnsi"/>
          <w:b/>
          <w:bCs/>
          <w:sz w:val="24"/>
          <w:szCs w:val="24"/>
          <w:lang w:eastAsia="lt-LT"/>
        </w:rPr>
        <w:t xml:space="preserve"> „</w:t>
      </w:r>
      <w:r>
        <w:rPr>
          <w:rFonts w:cstheme="minorHAnsi"/>
          <w:b/>
          <w:bCs/>
          <w:sz w:val="24"/>
          <w:szCs w:val="24"/>
          <w:lang w:eastAsia="lt-LT"/>
        </w:rPr>
        <w:t>Liejyklos g. kapitalinio remonto ir paprastojo remonto darbai</w:t>
      </w:r>
      <w:r w:rsidRPr="007622B5">
        <w:rPr>
          <w:rFonts w:cstheme="minorHAnsi"/>
          <w:b/>
          <w:bCs/>
          <w:sz w:val="24"/>
          <w:szCs w:val="24"/>
          <w:lang w:eastAsia="lt-LT"/>
        </w:rPr>
        <w:t>“</w:t>
      </w:r>
      <w:r w:rsidRPr="007622B5">
        <w:rPr>
          <w:rFonts w:cstheme="minorHAnsi"/>
          <w:sz w:val="24"/>
          <w:szCs w:val="24"/>
          <w:lang w:eastAsia="lt-LT"/>
        </w:rPr>
        <w:t xml:space="preserve"> (toliau – Pirkimas) </w:t>
      </w:r>
      <w:r w:rsidRPr="005E64B5">
        <w:rPr>
          <w:rFonts w:cstheme="minorHAnsi"/>
          <w:sz w:val="24"/>
          <w:szCs w:val="24"/>
        </w:rPr>
        <w:t>dokumentų atitikties Įstatymui ir jį įgyvendinantiems teisės aktams peržiūra (peržiūra prevenciniais tikslais atliekama tam tikra apimtimi).</w:t>
      </w:r>
    </w:p>
    <w:p w14:paraId="4C4EA070" w14:textId="77777777" w:rsidR="00CA2515" w:rsidRPr="00084498" w:rsidRDefault="00CA2515" w:rsidP="00CA2515">
      <w:pPr>
        <w:spacing w:after="0" w:line="276" w:lineRule="auto"/>
        <w:ind w:firstLine="567"/>
        <w:rPr>
          <w:rFonts w:cstheme="minorHAnsi"/>
          <w:sz w:val="24"/>
          <w:szCs w:val="24"/>
          <w:lang w:eastAsia="lt-LT"/>
        </w:rPr>
      </w:pPr>
      <w:r w:rsidRPr="00CB1176">
        <w:rPr>
          <w:rFonts w:cstheme="minorHAnsi"/>
          <w:sz w:val="24"/>
          <w:szCs w:val="24"/>
          <w:lang w:eastAsia="lt-LT"/>
        </w:rPr>
        <w:t xml:space="preserve">Tarnyba, prevencine tvarka peržiūrėjusi Pirkimo dokumentus ir atsižvelgdama į galiojantį teisinį </w:t>
      </w:r>
      <w:r w:rsidRPr="00084498">
        <w:rPr>
          <w:rFonts w:cstheme="minorHAnsi"/>
          <w:sz w:val="24"/>
          <w:szCs w:val="24"/>
          <w:lang w:eastAsia="lt-LT"/>
        </w:rPr>
        <w:t>reglamentavimą, teikia pastabas ir rekomendacijas (toliau – Rekomendacija) dėl Pirkimo dokumentų nuostatų.</w:t>
      </w:r>
    </w:p>
    <w:p w14:paraId="7F6DC18D" w14:textId="77777777" w:rsidR="00CA2515" w:rsidRPr="00084498" w:rsidRDefault="00CA2515" w:rsidP="00CA2515">
      <w:pPr>
        <w:pStyle w:val="ListParagraph"/>
        <w:numPr>
          <w:ilvl w:val="0"/>
          <w:numId w:val="2"/>
        </w:numPr>
        <w:spacing w:after="0" w:line="276" w:lineRule="auto"/>
        <w:ind w:hanging="218"/>
        <w:rPr>
          <w:rFonts w:ascii="Calibri" w:eastAsia="Calibri" w:hAnsi="Calibri" w:cs="Calibri"/>
          <w:b/>
          <w:bCs/>
          <w:color w:val="000000" w:themeColor="text1"/>
          <w:sz w:val="24"/>
          <w:szCs w:val="24"/>
          <w:lang w:val="lt"/>
        </w:rPr>
      </w:pPr>
      <w:r w:rsidRPr="00084498">
        <w:rPr>
          <w:rFonts w:ascii="Calibri" w:eastAsia="Calibri" w:hAnsi="Calibri" w:cs="Calibri"/>
          <w:b/>
          <w:bCs/>
          <w:color w:val="000000" w:themeColor="text1"/>
          <w:sz w:val="24"/>
          <w:szCs w:val="24"/>
          <w:lang w:val="lt"/>
        </w:rPr>
        <w:t>Dėl kvalifikacijos ir kitų reikalavimų tiekėjui</w:t>
      </w:r>
    </w:p>
    <w:p w14:paraId="30A72866" w14:textId="77777777" w:rsidR="00CA2515" w:rsidRPr="006713D3" w:rsidRDefault="00CA2515" w:rsidP="00CA2515">
      <w:pPr>
        <w:pStyle w:val="ListParagraph"/>
        <w:numPr>
          <w:ilvl w:val="1"/>
          <w:numId w:val="1"/>
        </w:numPr>
        <w:tabs>
          <w:tab w:val="left" w:pos="1134"/>
        </w:tabs>
        <w:spacing w:after="0" w:line="276" w:lineRule="auto"/>
        <w:ind w:left="0" w:firstLine="709"/>
        <w:rPr>
          <w:sz w:val="24"/>
          <w:szCs w:val="24"/>
        </w:rPr>
      </w:pPr>
      <w:r w:rsidRPr="006713D3">
        <w:rPr>
          <w:rFonts w:eastAsia="Times New Roman" w:cstheme="minorHAnsi"/>
          <w:color w:val="000000" w:themeColor="text1"/>
          <w:sz w:val="24"/>
          <w:szCs w:val="24"/>
          <w:lang w:val="lt"/>
        </w:rPr>
        <w:t>Pirkimo sąlygų 5 priedo „Kvalifikacijos ir kiti reikalavimai tiekėjams” (toliau – Kvalifikacijos reikalavimai) 1 punkte nustatytas kvalifikacijos reikalavimas tiekėjui: „</w:t>
      </w:r>
      <w:r w:rsidRPr="006713D3">
        <w:rPr>
          <w:i/>
          <w:iCs/>
          <w:sz w:val="24"/>
          <w:szCs w:val="24"/>
        </w:rPr>
        <w:t xml:space="preserve">Tiekėjas, per paskutinius 5 metus iki pasiūlymo pateikimo termino pabaigos pagal vieną ar daugiau sutarčių yra </w:t>
      </w:r>
      <w:r w:rsidRPr="006713D3">
        <w:rPr>
          <w:i/>
          <w:iCs/>
          <w:sz w:val="24"/>
          <w:szCs w:val="24"/>
          <w:u w:val="single"/>
        </w:rPr>
        <w:t>įvykdęs</w:t>
      </w:r>
      <w:r w:rsidRPr="00515294">
        <w:rPr>
          <w:i/>
          <w:iCs/>
          <w:sz w:val="24"/>
          <w:szCs w:val="24"/>
          <w:u w:val="single"/>
        </w:rPr>
        <w:t xml:space="preserve"> ne mažiau kaip 1</w:t>
      </w:r>
      <w:r w:rsidRPr="006713D3">
        <w:rPr>
          <w:i/>
          <w:iCs/>
          <w:sz w:val="24"/>
          <w:szCs w:val="24"/>
        </w:rPr>
        <w:t xml:space="preserve"> susisiekimo komunikacijų (gatvių ar kelių) naujos statybos, ir (arba) rekonstravimo, ir (arba) kapitalinio remonto, ir (arba) paprastojo remonto </w:t>
      </w:r>
      <w:r w:rsidRPr="006713D3">
        <w:rPr>
          <w:i/>
          <w:iCs/>
          <w:sz w:val="24"/>
          <w:szCs w:val="24"/>
          <w:u w:val="single"/>
        </w:rPr>
        <w:t>darbus</w:t>
      </w:r>
      <w:r w:rsidRPr="006713D3">
        <w:rPr>
          <w:i/>
          <w:iCs/>
          <w:sz w:val="24"/>
          <w:szCs w:val="24"/>
        </w:rPr>
        <w:t>, kurių svarbiausių darbų vertė ne mažesnė kaip 156 tūkst. Eur (be PVM) ir kurios svarbiausių darbų atlikimas ir galutiniai rezultatai buvo tinkami</w:t>
      </w:r>
      <w:r w:rsidRPr="006713D3">
        <w:rPr>
          <w:sz w:val="24"/>
          <w:szCs w:val="24"/>
        </w:rPr>
        <w:t>“.</w:t>
      </w:r>
    </w:p>
    <w:p w14:paraId="17C5935E" w14:textId="77777777" w:rsidR="00CA2515" w:rsidRPr="005135E7" w:rsidRDefault="00CA2515" w:rsidP="00CA2515">
      <w:pPr>
        <w:tabs>
          <w:tab w:val="left" w:pos="567"/>
          <w:tab w:val="left" w:pos="1843"/>
        </w:tabs>
        <w:spacing w:after="0" w:line="276" w:lineRule="auto"/>
        <w:ind w:firstLine="709"/>
        <w:contextualSpacing/>
        <w:rPr>
          <w:rFonts w:cstheme="minorHAnsi"/>
          <w:sz w:val="24"/>
          <w:szCs w:val="24"/>
        </w:rPr>
      </w:pPr>
      <w:r w:rsidRPr="005135E7">
        <w:rPr>
          <w:rFonts w:cstheme="minorHAnsi"/>
          <w:sz w:val="24"/>
          <w:szCs w:val="24"/>
        </w:rPr>
        <w:t>Tarnyba pažymi, kad Įstatymo 47 straipsnio 7 dalyje nustatyta, kad Tiekėjo kvalifikacijos reikalavimai nustatomi pagal Tiekėjo kvalifikacijos reikalavimų nustatymo metodiką</w:t>
      </w:r>
      <w:r w:rsidRPr="005135E7">
        <w:rPr>
          <w:rFonts w:cstheme="minorHAnsi"/>
          <w:sz w:val="24"/>
          <w:szCs w:val="24"/>
          <w:vertAlign w:val="superscript"/>
        </w:rPr>
        <w:footnoteReference w:id="2"/>
      </w:r>
      <w:r w:rsidRPr="005135E7">
        <w:rPr>
          <w:rFonts w:cstheme="minorHAnsi"/>
          <w:sz w:val="24"/>
          <w:szCs w:val="24"/>
        </w:rPr>
        <w:t xml:space="preserve"> (toliau – Metodika). Įstatymo 51 straipsnio 7 dalies 1 punkte ir Metodikos 16.1 punkte nurodyta, kad, kai pirkimo objektas dalus, turi būti nustatomas toks kvalifikacinis reikalavimas: </w:t>
      </w:r>
      <w:r w:rsidRPr="005135E7">
        <w:rPr>
          <w:rFonts w:cstheme="minorHAnsi"/>
          <w:i/>
          <w:iCs/>
          <w:sz w:val="24"/>
          <w:szCs w:val="24"/>
        </w:rPr>
        <w:t xml:space="preserve">„Tiekėjas per paskutinius 5* metus iki pasiūlymo pateikimo termino pabaigos pagal vieną ar daugiau sutarčių yra </w:t>
      </w:r>
      <w:r w:rsidRPr="005135E7">
        <w:rPr>
          <w:rFonts w:cstheme="minorHAnsi"/>
          <w:i/>
          <w:iCs/>
          <w:sz w:val="24"/>
          <w:szCs w:val="24"/>
          <w:u w:val="single"/>
        </w:rPr>
        <w:t>atlikęs darbų</w:t>
      </w:r>
      <w:r w:rsidRPr="005135E7">
        <w:rPr>
          <w:rFonts w:cstheme="minorHAnsi"/>
          <w:i/>
          <w:iCs/>
          <w:sz w:val="24"/>
          <w:szCs w:val="24"/>
        </w:rPr>
        <w:t xml:space="preserve"> &lt;...&gt;“ </w:t>
      </w:r>
      <w:r w:rsidRPr="005135E7">
        <w:rPr>
          <w:rFonts w:cstheme="minorHAnsi"/>
          <w:sz w:val="24"/>
          <w:szCs w:val="24"/>
        </w:rPr>
        <w:t xml:space="preserve">(o ne įvykdęs </w:t>
      </w:r>
      <w:r>
        <w:rPr>
          <w:rFonts w:cstheme="minorHAnsi"/>
          <w:sz w:val="24"/>
          <w:szCs w:val="24"/>
        </w:rPr>
        <w:t xml:space="preserve">ne mažiau kaip 1 &lt;...&gt; </w:t>
      </w:r>
      <w:r w:rsidRPr="005135E7">
        <w:rPr>
          <w:rFonts w:cstheme="minorHAnsi"/>
          <w:sz w:val="24"/>
          <w:szCs w:val="24"/>
        </w:rPr>
        <w:t xml:space="preserve">darbus), o tiekėjo patirties įrodymui Perkančioji organizacija gali reikalauti </w:t>
      </w:r>
      <w:r w:rsidRPr="005135E7">
        <w:rPr>
          <w:rFonts w:cstheme="minorHAnsi"/>
          <w:sz w:val="24"/>
          <w:szCs w:val="24"/>
          <w:u w:val="single"/>
        </w:rPr>
        <w:t>atliktų darbų sąrašo</w:t>
      </w:r>
      <w:r w:rsidRPr="005135E7">
        <w:rPr>
          <w:rFonts w:cstheme="minorHAnsi"/>
          <w:sz w:val="24"/>
          <w:szCs w:val="24"/>
        </w:rPr>
        <w:t xml:space="preserve"> (o ne sutarčių sąrašo) kartu su užsakovų pažymomis apie tai, kad svarbiausių darbų atlikimas ir galutiniai rezultatai buvo tinkami.</w:t>
      </w:r>
    </w:p>
    <w:p w14:paraId="11B34D7A" w14:textId="77777777" w:rsidR="00CA2515" w:rsidRDefault="00CA2515" w:rsidP="00CA2515">
      <w:pPr>
        <w:tabs>
          <w:tab w:val="left" w:pos="567"/>
          <w:tab w:val="left" w:pos="1843"/>
        </w:tabs>
        <w:spacing w:after="0" w:line="276" w:lineRule="auto"/>
        <w:contextualSpacing/>
        <w:rPr>
          <w:rFonts w:cstheme="minorHAnsi"/>
          <w:sz w:val="24"/>
          <w:szCs w:val="24"/>
        </w:rPr>
      </w:pPr>
      <w:r w:rsidRPr="006713D3">
        <w:rPr>
          <w:rFonts w:cstheme="minorHAnsi"/>
          <w:sz w:val="24"/>
          <w:szCs w:val="24"/>
        </w:rPr>
        <w:tab/>
        <w:t xml:space="preserve">Tarnyba rekomenduoja tikslinti šį kvalifikacijos reikalavimą, nustatant, kad </w:t>
      </w:r>
      <w:r>
        <w:rPr>
          <w:rFonts w:cstheme="minorHAnsi"/>
          <w:sz w:val="24"/>
          <w:szCs w:val="24"/>
        </w:rPr>
        <w:t>„</w:t>
      </w:r>
      <w:r w:rsidRPr="00515294">
        <w:rPr>
          <w:rFonts w:cstheme="minorHAnsi"/>
          <w:i/>
          <w:iCs/>
          <w:sz w:val="24"/>
          <w:szCs w:val="24"/>
        </w:rPr>
        <w:t>tiekėjas, &lt;...&gt; pagal vieną ar daugiau sutarčių turi būti atlikęs &lt;...&gt; darbų, kurių bendra vertė ne mažesnė kaip &lt;...&gt;</w:t>
      </w:r>
      <w:r>
        <w:rPr>
          <w:rFonts w:cstheme="minorHAnsi"/>
          <w:sz w:val="24"/>
          <w:szCs w:val="24"/>
        </w:rPr>
        <w:t>“</w:t>
      </w:r>
      <w:r w:rsidRPr="006713D3">
        <w:rPr>
          <w:rFonts w:cstheme="minorHAnsi"/>
          <w:sz w:val="24"/>
          <w:szCs w:val="24"/>
        </w:rPr>
        <w:t>.</w:t>
      </w:r>
    </w:p>
    <w:p w14:paraId="26AFEA02" w14:textId="77777777" w:rsidR="00CA2515" w:rsidRDefault="00CA2515" w:rsidP="00CA2515">
      <w:pPr>
        <w:pStyle w:val="ListParagraph"/>
        <w:numPr>
          <w:ilvl w:val="1"/>
          <w:numId w:val="1"/>
        </w:numPr>
        <w:tabs>
          <w:tab w:val="left" w:pos="567"/>
          <w:tab w:val="left" w:pos="1276"/>
        </w:tabs>
        <w:spacing w:after="0" w:line="276" w:lineRule="auto"/>
        <w:ind w:left="0" w:firstLine="709"/>
        <w:rPr>
          <w:sz w:val="24"/>
          <w:szCs w:val="24"/>
        </w:rPr>
      </w:pPr>
      <w:r w:rsidRPr="00D372C7">
        <w:rPr>
          <w:rFonts w:cstheme="minorHAnsi"/>
          <w:sz w:val="24"/>
          <w:szCs w:val="24"/>
        </w:rPr>
        <w:lastRenderedPageBreak/>
        <w:t xml:space="preserve">Kvalifikacijos reikalavimų 1 punkto atitiktį pagrindžiančiuose reikalavimuose nurodyta, kad </w:t>
      </w:r>
      <w:r w:rsidRPr="00D372C7">
        <w:rPr>
          <w:sz w:val="24"/>
          <w:szCs w:val="24"/>
        </w:rPr>
        <w:t>„</w:t>
      </w:r>
      <w:r w:rsidRPr="00D372C7">
        <w:rPr>
          <w:i/>
          <w:iCs/>
          <w:sz w:val="24"/>
          <w:szCs w:val="24"/>
        </w:rPr>
        <w:t xml:space="preserve">Pažymoje turi būti nurodyta darbų atlikimo vertė, statybos rūšis, </w:t>
      </w:r>
      <w:r w:rsidRPr="00D372C7">
        <w:rPr>
          <w:i/>
          <w:iCs/>
          <w:sz w:val="24"/>
          <w:szCs w:val="24"/>
          <w:u w:val="single"/>
        </w:rPr>
        <w:t>statinio kategorija</w:t>
      </w:r>
      <w:r w:rsidRPr="00D372C7">
        <w:rPr>
          <w:i/>
          <w:iCs/>
          <w:sz w:val="24"/>
          <w:szCs w:val="24"/>
        </w:rPr>
        <w:t xml:space="preserve">, paskirtis, data ir </w:t>
      </w:r>
      <w:r w:rsidRPr="00D372C7">
        <w:rPr>
          <w:i/>
          <w:iCs/>
          <w:sz w:val="24"/>
          <w:szCs w:val="24"/>
          <w:u w:val="single"/>
        </w:rPr>
        <w:t>vieta</w:t>
      </w:r>
      <w:r w:rsidRPr="00D372C7">
        <w:rPr>
          <w:i/>
          <w:iCs/>
          <w:sz w:val="24"/>
          <w:szCs w:val="24"/>
        </w:rPr>
        <w:t>, ar darbai buvo atlikti ir užbaigti pagal darbų atlikimą reglamentuojančių teisės aktų bei pirkimo sutarties reikalavimus</w:t>
      </w:r>
      <w:r w:rsidRPr="00D372C7">
        <w:rPr>
          <w:sz w:val="24"/>
          <w:szCs w:val="24"/>
        </w:rPr>
        <w:t>“.</w:t>
      </w:r>
      <w:r>
        <w:rPr>
          <w:sz w:val="24"/>
          <w:szCs w:val="24"/>
        </w:rPr>
        <w:t xml:space="preserve"> Atsižvelgiant į tai, kad kvalifikacijos reikalavime nėra nustatytas reikalavimas dėl statinio kategorijos ir vietos, rekomenduotina kvalifikacijos reikalavimą pagrindžiančiuose dokumentuose atsisakyti prašomos perteklinės informacijos, nesusijusios su pačiu kvalifikacijos reikalavimu arba tikslinti patį kvalifikacijos reikalavimą.</w:t>
      </w:r>
    </w:p>
    <w:p w14:paraId="45B11A67" w14:textId="77777777" w:rsidR="00CA2515" w:rsidRPr="00515294" w:rsidRDefault="00CA2515" w:rsidP="00CA2515">
      <w:pPr>
        <w:pStyle w:val="ListParagraph"/>
        <w:numPr>
          <w:ilvl w:val="1"/>
          <w:numId w:val="1"/>
        </w:numPr>
        <w:tabs>
          <w:tab w:val="left" w:pos="1276"/>
        </w:tabs>
        <w:spacing w:after="0" w:line="276" w:lineRule="auto"/>
        <w:ind w:left="0" w:firstLine="709"/>
        <w:rPr>
          <w:rFonts w:ascii="Times New Roman" w:eastAsia="Times New Roman" w:hAnsi="Times New Roman" w:cs="Times New Roman"/>
          <w:b/>
          <w:bCs/>
          <w:sz w:val="24"/>
          <w:szCs w:val="24"/>
          <w:lang w:val="lt"/>
        </w:rPr>
      </w:pPr>
      <w:r w:rsidRPr="00515294">
        <w:rPr>
          <w:rFonts w:cstheme="minorHAnsi"/>
          <w:sz w:val="24"/>
          <w:szCs w:val="24"/>
        </w:rPr>
        <w:t>Atkreiptinas dėmesys, jog Kvalifikacijos reikalavimų 2 punkto pagrindžiančiuose dokumentuose nurodyta nuostata, kad „</w:t>
      </w:r>
      <w:r w:rsidRPr="00515294">
        <w:rPr>
          <w:i/>
          <w:iCs/>
          <w:sz w:val="24"/>
          <w:szCs w:val="24"/>
        </w:rPr>
        <w:t xml:space="preserve">Užsienio šalies specialistai* – &lt;...&gt;, piliečiai ir kiti fiziniai asmenys, &lt;...&gt; - turi teisę eiti </w:t>
      </w:r>
      <w:r w:rsidRPr="00515294">
        <w:rPr>
          <w:i/>
          <w:iCs/>
          <w:sz w:val="24"/>
          <w:szCs w:val="24"/>
          <w:u w:val="single"/>
        </w:rPr>
        <w:t>ypatingojo</w:t>
      </w:r>
      <w:r w:rsidRPr="00515294">
        <w:rPr>
          <w:i/>
          <w:iCs/>
          <w:sz w:val="24"/>
          <w:szCs w:val="24"/>
        </w:rPr>
        <w:t xml:space="preserve"> / neypatingojo statybos darbų vadovo pareigas, pripažinus jų kilmės valstybėje turimą teisę eiti analogiškų statinių statybos vadovo /</w:t>
      </w:r>
      <w:r w:rsidRPr="00515294">
        <w:rPr>
          <w:i/>
          <w:iCs/>
          <w:sz w:val="24"/>
          <w:szCs w:val="24"/>
          <w:u w:val="single"/>
        </w:rPr>
        <w:t>specialiųjų statybos darbų vadovo pareigas</w:t>
      </w:r>
      <w:r w:rsidRPr="00515294">
        <w:rPr>
          <w:i/>
          <w:iCs/>
          <w:sz w:val="24"/>
          <w:szCs w:val="24"/>
        </w:rPr>
        <w:t xml:space="preserve">. Užsienio šalies specialisto* turimos kvalifikacijos patvirtinimo dokumentai Lietuvoje gali būti išduoti ir po </w:t>
      </w:r>
      <w:r w:rsidRPr="00515294">
        <w:rPr>
          <w:i/>
          <w:iCs/>
          <w:sz w:val="24"/>
          <w:szCs w:val="24"/>
          <w:u w:val="single"/>
        </w:rPr>
        <w:t>paraiškų</w:t>
      </w:r>
      <w:r w:rsidRPr="00515294">
        <w:rPr>
          <w:i/>
          <w:iCs/>
          <w:sz w:val="24"/>
          <w:szCs w:val="24"/>
        </w:rPr>
        <w:t xml:space="preserve"> / pasiūlymų pateikimo datos, bet ne vėliau kaip iki Sutarties pasirašymo dienos, tačiau pačią teisę specialistas kilmės šalyje turi būti įgijęs iki </w:t>
      </w:r>
      <w:r w:rsidRPr="00515294">
        <w:rPr>
          <w:i/>
          <w:iCs/>
          <w:sz w:val="24"/>
          <w:szCs w:val="24"/>
          <w:u w:val="single"/>
        </w:rPr>
        <w:t>paraiškų</w:t>
      </w:r>
      <w:r w:rsidRPr="00515294">
        <w:rPr>
          <w:i/>
          <w:iCs/>
          <w:sz w:val="24"/>
          <w:szCs w:val="24"/>
        </w:rPr>
        <w:t xml:space="preserve"> / pasiūlymų pateikimo termino pabaigos</w:t>
      </w:r>
      <w:r w:rsidRPr="00515294">
        <w:rPr>
          <w:sz w:val="24"/>
          <w:szCs w:val="24"/>
        </w:rPr>
        <w:t>“ turi būti tikslinama atsisakant perteklinių nuostatų (Rekomendacijoje pabrauktų sąvokų).</w:t>
      </w:r>
    </w:p>
    <w:p w14:paraId="6680181B" w14:textId="77777777" w:rsidR="00CA2515" w:rsidRPr="00515294" w:rsidRDefault="00CA2515" w:rsidP="00CA2515">
      <w:pPr>
        <w:spacing w:after="0" w:line="276" w:lineRule="auto"/>
        <w:ind w:firstLine="709"/>
        <w:rPr>
          <w:rFonts w:eastAsia="Calibri" w:cstheme="minorHAnsi"/>
          <w:sz w:val="24"/>
          <w:szCs w:val="24"/>
        </w:rPr>
      </w:pPr>
      <w:r w:rsidRPr="00515294">
        <w:rPr>
          <w:rStyle w:val="normaltextrun"/>
          <w:rFonts w:ascii="Calibri" w:hAnsi="Calibri" w:cs="Calibri"/>
          <w:color w:val="000000"/>
          <w:sz w:val="24"/>
          <w:szCs w:val="24"/>
        </w:rPr>
        <w:t xml:space="preserve">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w:t>
      </w:r>
      <w:r w:rsidRPr="00515294">
        <w:rPr>
          <w:rStyle w:val="normaltextrun"/>
          <w:rFonts w:ascii="Calibri" w:hAnsi="Calibri" w:cs="Calibri"/>
          <w:sz w:val="24"/>
          <w:szCs w:val="24"/>
        </w:rPr>
        <w:t xml:space="preserve">prireikus pratęsti pasiūlymų pateikimo terminą protingam laikotarpiui, per kurį potencialūs tiekėjai galėtų susipažinti su patikslintais ir pakeistais Pirkimo dokumentais. </w:t>
      </w:r>
      <w:r w:rsidRPr="00515294">
        <w:rPr>
          <w:rFonts w:eastAsia="Calibri" w:cstheme="minorHAnsi"/>
          <w:sz w:val="24"/>
          <w:szCs w:val="24"/>
        </w:rPr>
        <w:t>Pažymėtina, kad visais atvejais sprendimą dėl tolimesnio Pirkimo procedūrų vykdymo ar nutraukimo priima pati Perkančioji organizacija, vadovaudamasi Įstatymo 29 straipsnio 3</w:t>
      </w:r>
      <w:r w:rsidRPr="00515294">
        <w:rPr>
          <w:rFonts w:eastAsia="Calibri" w:cstheme="minorHAnsi"/>
          <w:sz w:val="24"/>
          <w:szCs w:val="24"/>
          <w:vertAlign w:val="superscript"/>
        </w:rPr>
        <w:footnoteReference w:id="3"/>
      </w:r>
      <w:r w:rsidRPr="00515294">
        <w:rPr>
          <w:rFonts w:eastAsia="Calibri" w:cstheme="minorHAnsi"/>
          <w:sz w:val="24"/>
          <w:szCs w:val="24"/>
        </w:rPr>
        <w:t xml:space="preserve"> ir 4</w:t>
      </w:r>
      <w:r w:rsidRPr="00515294">
        <w:rPr>
          <w:rFonts w:eastAsia="Calibri" w:cstheme="minorHAnsi"/>
          <w:sz w:val="24"/>
          <w:szCs w:val="24"/>
          <w:vertAlign w:val="superscript"/>
        </w:rPr>
        <w:footnoteReference w:id="4"/>
      </w:r>
      <w:r w:rsidRPr="00515294">
        <w:rPr>
          <w:rFonts w:eastAsia="Calibri" w:cstheme="minorHAnsi"/>
          <w:sz w:val="24"/>
          <w:szCs w:val="24"/>
        </w:rPr>
        <w:t xml:space="preserve"> dalių nuostatomis.</w:t>
      </w:r>
    </w:p>
    <w:sectPr w:rsidR="00CA2515" w:rsidRPr="00515294" w:rsidSect="00CA25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AC589" w14:textId="77777777" w:rsidR="00CA2515" w:rsidRDefault="00CA2515" w:rsidP="00CA2515">
      <w:pPr>
        <w:spacing w:after="0" w:line="240" w:lineRule="auto"/>
      </w:pPr>
      <w:r>
        <w:separator/>
      </w:r>
    </w:p>
  </w:endnote>
  <w:endnote w:type="continuationSeparator" w:id="0">
    <w:p w14:paraId="32C31FF3" w14:textId="77777777" w:rsidR="00CA2515" w:rsidRDefault="00CA2515" w:rsidP="00CA2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66C6A" w14:textId="77777777" w:rsidR="00CA2515" w:rsidRDefault="00CA2515" w:rsidP="00CA2515">
      <w:pPr>
        <w:spacing w:after="0" w:line="240" w:lineRule="auto"/>
      </w:pPr>
      <w:r>
        <w:separator/>
      </w:r>
    </w:p>
  </w:footnote>
  <w:footnote w:type="continuationSeparator" w:id="0">
    <w:p w14:paraId="7DC1AF24" w14:textId="77777777" w:rsidR="00CA2515" w:rsidRDefault="00CA2515" w:rsidP="00CA2515">
      <w:pPr>
        <w:spacing w:after="0" w:line="240" w:lineRule="auto"/>
      </w:pPr>
      <w:r>
        <w:continuationSeparator/>
      </w:r>
    </w:p>
  </w:footnote>
  <w:footnote w:id="1">
    <w:p w14:paraId="2C18F137" w14:textId="77777777" w:rsidR="00CA2515" w:rsidRDefault="00CA2515" w:rsidP="00CA2515">
      <w:pPr>
        <w:pStyle w:val="FootnoteText"/>
      </w:pPr>
      <w:r>
        <w:rPr>
          <w:rStyle w:val="FootnoteReference"/>
        </w:rPr>
        <w:footnoteRef/>
      </w:r>
      <w:r>
        <w:t xml:space="preserve"> </w:t>
      </w:r>
      <w:r w:rsidRPr="00025E91">
        <w:t>Šiaulių apskaitos centras, įgyvendindamas Šiaulių miesto savivaldybės tarybos 2022 m. liepos 7 d. sprendimą Nr. T-317 „Dėl teisės atlikti centrinės perkančiosios organizacijos funkcijas biudžetinei įstaigai Šiaulių apskaitos centrui suteikimo“, atlieka Centrinės perkančiosios organizacijos funkcijas ir viešojo pirkimo procedūras perkančiosios organizacijos (Šiaulių miesto savivaldybės administracijos) vardu iki pirkimo sutarties sudarymo.</w:t>
      </w:r>
    </w:p>
  </w:footnote>
  <w:footnote w:id="2">
    <w:p w14:paraId="53EA95D5" w14:textId="77777777" w:rsidR="00CA2515" w:rsidRPr="00947C2A" w:rsidRDefault="00CA2515" w:rsidP="00CA2515">
      <w:pPr>
        <w:pStyle w:val="FootnoteText"/>
        <w:rPr>
          <w:rFonts w:asciiTheme="minorHAnsi" w:hAnsiTheme="minorHAnsi" w:cstheme="minorHAnsi"/>
        </w:rPr>
      </w:pPr>
      <w:r w:rsidRPr="00947C2A">
        <w:rPr>
          <w:rStyle w:val="FootnoteReference"/>
          <w:rFonts w:asciiTheme="minorHAnsi" w:hAnsiTheme="minorHAnsi" w:cstheme="minorHAnsi"/>
        </w:rPr>
        <w:footnoteRef/>
      </w:r>
      <w:r w:rsidRPr="00947C2A">
        <w:rPr>
          <w:rFonts w:asciiTheme="minorHAnsi" w:hAnsiTheme="minorHAnsi" w:cstheme="minorHAnsi"/>
        </w:rPr>
        <w:t xml:space="preserve"> Tiekėjo kvalifikacijos reikalavimų nustatymo metodik</w:t>
      </w:r>
      <w:r>
        <w:rPr>
          <w:rFonts w:asciiTheme="minorHAnsi" w:hAnsiTheme="minorHAnsi" w:cstheme="minorHAnsi"/>
        </w:rPr>
        <w:t>a, p</w:t>
      </w:r>
      <w:r w:rsidRPr="00947C2A">
        <w:rPr>
          <w:rFonts w:asciiTheme="minorHAnsi" w:hAnsiTheme="minorHAnsi" w:cstheme="minorHAnsi"/>
        </w:rPr>
        <w:t>atvirtinta Viešųjų pirkimų tarnybos direktoriaus 2017 m. birželio 29 d. įsakymu Nr. 1S-105 „Dėl Tiekėjo kvalifikacijos reikalavimų nustatymo metodikos patvirtinimo“</w:t>
      </w:r>
      <w:r>
        <w:rPr>
          <w:rFonts w:asciiTheme="minorHAnsi" w:hAnsiTheme="minorHAnsi" w:cstheme="minorHAnsi"/>
        </w:rPr>
        <w:t xml:space="preserve"> (aktuali redakcija)</w:t>
      </w:r>
      <w:r w:rsidRPr="00947C2A">
        <w:rPr>
          <w:rFonts w:asciiTheme="minorHAnsi" w:hAnsiTheme="minorHAnsi" w:cstheme="minorHAnsi"/>
        </w:rPr>
        <w:t>.</w:t>
      </w:r>
    </w:p>
  </w:footnote>
  <w:footnote w:id="3">
    <w:p w14:paraId="6982F7D3" w14:textId="77777777" w:rsidR="00CA2515" w:rsidRPr="00642EC0" w:rsidRDefault="00CA2515" w:rsidP="00CA2515">
      <w:pPr>
        <w:pStyle w:val="FootnoteText"/>
        <w:rPr>
          <w:rFonts w:asciiTheme="minorHAnsi" w:hAnsiTheme="minorHAnsi" w:cstheme="minorHAnsi"/>
        </w:rPr>
      </w:pPr>
      <w:r w:rsidRPr="00642EC0">
        <w:rPr>
          <w:rStyle w:val="FootnoteReference"/>
          <w:rFonts w:asciiTheme="minorHAnsi" w:hAnsiTheme="minorHAnsi" w:cstheme="minorHAnsi"/>
        </w:rPr>
        <w:footnoteRef/>
      </w:r>
      <w:r w:rsidRPr="00642EC0">
        <w:rPr>
          <w:rFonts w:asciiTheme="minorHAnsi" w:hAnsiTheme="minorHAnsi" w:cstheme="minorHAnsi"/>
        </w:rPr>
        <w:t xml:space="preserve"> „</w:t>
      </w:r>
      <w:r w:rsidRPr="00642EC0">
        <w:rPr>
          <w:rFonts w:asciiTheme="minorHAnsi" w:hAnsiTheme="minorHAnsi" w:cstheme="minorHAnsi"/>
          <w:bCs/>
          <w:color w:val="000000"/>
        </w:rPr>
        <w:t>Perkančioji</w:t>
      </w:r>
      <w:r w:rsidRPr="00642EC0">
        <w:rPr>
          <w:rFonts w:asciiTheme="minorHAnsi" w:hAnsiTheme="minorHAnsi" w:cstheme="minorHAnsi"/>
          <w:color w:val="000000"/>
        </w:rPr>
        <w:t xml:space="preserve"> organizacija privalo </w:t>
      </w:r>
      <w:r w:rsidRPr="00642EC0">
        <w:rPr>
          <w:rFonts w:asciiTheme="minorHAnsi" w:hAnsiTheme="minorHAnsi" w:cstheme="minorHAnsi"/>
          <w:bCs/>
          <w:color w:val="000000"/>
        </w:rPr>
        <w:t>nutraukti pradėtas pirkimo ar projekto konkurso procedūras</w:t>
      </w:r>
      <w:r w:rsidRPr="00642EC0">
        <w:rPr>
          <w:rFonts w:asciiTheme="minorHAnsi" w:hAnsiTheme="minorHAnsi" w:cstheme="minorHAnsi"/>
          <w:color w:val="000000"/>
        </w:rPr>
        <w:t>, jeigu buvo pažeisti šio įstatymo 17 straipsnio 1 dalyje nustatyti principai ir atitinkamos padėties negalima ištaisyti“</w:t>
      </w:r>
      <w:r>
        <w:rPr>
          <w:rFonts w:asciiTheme="minorHAnsi" w:hAnsiTheme="minorHAnsi" w:cstheme="minorHAnsi"/>
          <w:color w:val="000000"/>
        </w:rPr>
        <w:t>.</w:t>
      </w:r>
    </w:p>
  </w:footnote>
  <w:footnote w:id="4">
    <w:p w14:paraId="606A459F" w14:textId="77777777" w:rsidR="00CA2515" w:rsidRPr="00642EC0" w:rsidRDefault="00CA2515" w:rsidP="00CA2515">
      <w:pPr>
        <w:pStyle w:val="FootnoteText"/>
        <w:rPr>
          <w:rFonts w:asciiTheme="minorHAnsi" w:hAnsiTheme="minorHAnsi" w:cstheme="minorHAnsi"/>
        </w:rPr>
      </w:pPr>
      <w:r w:rsidRPr="00642EC0">
        <w:rPr>
          <w:rStyle w:val="FootnoteReference"/>
          <w:rFonts w:asciiTheme="minorHAnsi" w:hAnsiTheme="minorHAnsi" w:cstheme="minorHAnsi"/>
        </w:rPr>
        <w:footnoteRef/>
      </w:r>
      <w:r w:rsidRPr="00642EC0">
        <w:rPr>
          <w:rFonts w:asciiTheme="minorHAnsi" w:hAnsiTheme="minorHAnsi" w:cstheme="minorHAnsi"/>
        </w:rPr>
        <w:t>„</w:t>
      </w:r>
      <w:r w:rsidRPr="00642EC0">
        <w:rPr>
          <w:rFonts w:asciiTheme="minorHAnsi" w:hAnsiTheme="minorHAnsi" w:cstheme="minorHAnsi"/>
          <w:bCs/>
          <w:color w:val="000000"/>
        </w:rPr>
        <w:t xml:space="preserve">Perkančioji organizacija turi teisę savo iniciatyva nutraukti pradėtas pirkimo ar projekto konkurso procedūras, jeigu atsirado aplinkybių, kurių nebuvo galima numatyti, arba </w:t>
      </w:r>
      <w:r w:rsidRPr="00642EC0">
        <w:rPr>
          <w:rFonts w:asciiTheme="minorHAnsi" w:hAnsiTheme="minorHAnsi" w:cstheme="minorHAnsi"/>
          <w:bCs/>
          <w:color w:val="000000"/>
          <w:lang w:eastAsia="lt-LT"/>
        </w:rPr>
        <w:t>pirkimo dokumentuose padaryta esminių klaidų, dėl kurių pirkimas tampa nebetikslingas ar jį įvykdžius būtų įsigytas perkančiosios organizacijos poreikių neatitinkantis pirkimo objektas“</w:t>
      </w:r>
      <w:r>
        <w:rPr>
          <w:rFonts w:asciiTheme="minorHAnsi" w:hAnsiTheme="minorHAnsi" w:cstheme="minorHAnsi"/>
          <w:bCs/>
          <w:color w:val="000000"/>
          <w:lang w:eastAsia="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33FDA"/>
    <w:multiLevelType w:val="hybridMultilevel"/>
    <w:tmpl w:val="32020888"/>
    <w:lvl w:ilvl="0" w:tplc="4D62FC7E">
      <w:start w:val="1"/>
      <w:numFmt w:val="decimal"/>
      <w:lvlText w:val="%1."/>
      <w:lvlJc w:val="left"/>
      <w:pPr>
        <w:ind w:left="927" w:hanging="360"/>
      </w:pPr>
      <w:rPr>
        <w:rFonts w:ascii="Calibri" w:eastAsia="Calibri" w:hAnsi="Calibri" w:cs="Calibri" w:hint="default"/>
        <w:color w:val="000000" w:themeColor="text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401101DF"/>
    <w:multiLevelType w:val="multilevel"/>
    <w:tmpl w:val="C318266C"/>
    <w:lvl w:ilvl="0">
      <w:start w:val="1"/>
      <w:numFmt w:val="decimal"/>
      <w:lvlText w:val="%1."/>
      <w:lvlJc w:val="left"/>
      <w:pPr>
        <w:ind w:left="1854" w:hanging="360"/>
      </w:pPr>
      <w:rPr>
        <w:rFonts w:hint="default"/>
      </w:rPr>
    </w:lvl>
    <w:lvl w:ilvl="1">
      <w:start w:val="1"/>
      <w:numFmt w:val="decimal"/>
      <w:isLgl/>
      <w:lvlText w:val="%1.%2."/>
      <w:lvlJc w:val="left"/>
      <w:pPr>
        <w:ind w:left="360" w:hanging="360"/>
      </w:pPr>
      <w:rPr>
        <w:rFonts w:asciiTheme="minorHAnsi" w:hAnsiTheme="minorHAnsi" w:cstheme="minorHAnsi" w:hint="default"/>
        <w:b w:val="0"/>
        <w:bCs w:val="0"/>
      </w:rPr>
    </w:lvl>
    <w:lvl w:ilvl="2">
      <w:start w:val="1"/>
      <w:numFmt w:val="decimal"/>
      <w:isLgl/>
      <w:lvlText w:val="%1.%2.%3."/>
      <w:lvlJc w:val="left"/>
      <w:pPr>
        <w:ind w:left="2934" w:hanging="720"/>
      </w:pPr>
      <w:rPr>
        <w:rFonts w:hint="default"/>
      </w:rPr>
    </w:lvl>
    <w:lvl w:ilvl="3">
      <w:start w:val="1"/>
      <w:numFmt w:val="decimal"/>
      <w:isLgl/>
      <w:lvlText w:val="%1.%2.%3.%4."/>
      <w:lvlJc w:val="left"/>
      <w:pPr>
        <w:ind w:left="3294" w:hanging="720"/>
      </w:pPr>
      <w:rPr>
        <w:rFonts w:hint="default"/>
      </w:rPr>
    </w:lvl>
    <w:lvl w:ilvl="4">
      <w:start w:val="1"/>
      <w:numFmt w:val="decimal"/>
      <w:isLgl/>
      <w:lvlText w:val="%1.%2.%3.%4.%5."/>
      <w:lvlJc w:val="left"/>
      <w:pPr>
        <w:ind w:left="4014" w:hanging="1080"/>
      </w:pPr>
      <w:rPr>
        <w:rFonts w:hint="default"/>
      </w:rPr>
    </w:lvl>
    <w:lvl w:ilvl="5">
      <w:start w:val="1"/>
      <w:numFmt w:val="decimal"/>
      <w:isLgl/>
      <w:lvlText w:val="%1.%2.%3.%4.%5.%6."/>
      <w:lvlJc w:val="left"/>
      <w:pPr>
        <w:ind w:left="4374" w:hanging="1080"/>
      </w:pPr>
      <w:rPr>
        <w:rFonts w:hint="default"/>
      </w:rPr>
    </w:lvl>
    <w:lvl w:ilvl="6">
      <w:start w:val="1"/>
      <w:numFmt w:val="decimal"/>
      <w:isLgl/>
      <w:lvlText w:val="%1.%2.%3.%4.%5.%6.%7."/>
      <w:lvlJc w:val="left"/>
      <w:pPr>
        <w:ind w:left="5094" w:hanging="1440"/>
      </w:pPr>
      <w:rPr>
        <w:rFonts w:hint="default"/>
      </w:rPr>
    </w:lvl>
    <w:lvl w:ilvl="7">
      <w:start w:val="1"/>
      <w:numFmt w:val="decimal"/>
      <w:isLgl/>
      <w:lvlText w:val="%1.%2.%3.%4.%5.%6.%7.%8."/>
      <w:lvlJc w:val="left"/>
      <w:pPr>
        <w:ind w:left="5454" w:hanging="1440"/>
      </w:pPr>
      <w:rPr>
        <w:rFonts w:hint="default"/>
      </w:rPr>
    </w:lvl>
    <w:lvl w:ilvl="8">
      <w:start w:val="1"/>
      <w:numFmt w:val="decimal"/>
      <w:isLgl/>
      <w:lvlText w:val="%1.%2.%3.%4.%5.%6.%7.%8.%9."/>
      <w:lvlJc w:val="left"/>
      <w:pPr>
        <w:ind w:left="6174" w:hanging="1800"/>
      </w:pPr>
      <w:rPr>
        <w:rFonts w:hint="default"/>
      </w:rPr>
    </w:lvl>
  </w:abstractNum>
  <w:num w:numId="1" w16cid:durableId="1430200776">
    <w:abstractNumId w:val="1"/>
  </w:num>
  <w:num w:numId="2" w16cid:durableId="487743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515"/>
    <w:rsid w:val="000E2A42"/>
    <w:rsid w:val="005F6BBB"/>
    <w:rsid w:val="00CA2515"/>
    <w:rsid w:val="00D64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7F1BD"/>
  <w15:chartTrackingRefBased/>
  <w15:docId w15:val="{2723B514-50E3-4591-A51C-82134CC2B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515"/>
    <w:rPr>
      <w:kern w:val="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2515"/>
    <w:rPr>
      <w:color w:val="0563C1" w:themeColor="hyperlink"/>
      <w:u w:val="single"/>
    </w:rPr>
  </w:style>
  <w:style w:type="character" w:customStyle="1" w:styleId="normaltextrun">
    <w:name w:val="normaltextrun"/>
    <w:basedOn w:val="DefaultParagraphFont"/>
    <w:rsid w:val="00CA2515"/>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CA2515"/>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CA2515"/>
    <w:rPr>
      <w:kern w:val="0"/>
      <w:lang w:val="lt-LT"/>
      <w14:ligatures w14:val="none"/>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CA2515"/>
    <w:pPr>
      <w:spacing w:after="0" w:line="240" w:lineRule="auto"/>
    </w:pPr>
    <w:rPr>
      <w:rFonts w:ascii="Calibri" w:hAnsi="Calibri" w:cs="Calibri"/>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CA2515"/>
    <w:rPr>
      <w:rFonts w:ascii="Calibri" w:hAnsi="Calibri" w:cs="Calibri"/>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CA25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2961</Words>
  <Characters>1688</Characters>
  <Application>Microsoft Office Word</Application>
  <DocSecurity>0</DocSecurity>
  <Lines>14</Lines>
  <Paragraphs>9</Paragraphs>
  <ScaleCrop>false</ScaleCrop>
  <Company>VPT</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2</cp:revision>
  <dcterms:created xsi:type="dcterms:W3CDTF">2024-03-13T06:25:00Z</dcterms:created>
  <dcterms:modified xsi:type="dcterms:W3CDTF">2024-03-13T07:31:00Z</dcterms:modified>
</cp:coreProperties>
</file>