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5E1A" w14:textId="77777777" w:rsidR="00A50E02" w:rsidRPr="0065334E" w:rsidRDefault="00A50E02" w:rsidP="00A50E02">
      <w:pPr>
        <w:spacing w:after="0" w:line="276" w:lineRule="auto"/>
        <w:ind w:firstLine="709"/>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BF2DB3F" w14:textId="77777777" w:rsidR="00A50E02" w:rsidRPr="0065334E" w:rsidRDefault="00A50E02" w:rsidP="00A50E02">
      <w:pPr>
        <w:spacing w:after="0" w:line="276" w:lineRule="auto"/>
        <w:ind w:firstLine="709"/>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6608B0">
        <w:rPr>
          <w:rFonts w:eastAsia="Times New Roman" w:cstheme="minorHAnsi"/>
          <w:b/>
          <w:bCs/>
          <w:sz w:val="24"/>
          <w:szCs w:val="24"/>
          <w:lang w:val="lt"/>
        </w:rPr>
        <w:t>Tauragės</w:t>
      </w:r>
      <w:r w:rsidRPr="007C28E9">
        <w:rPr>
          <w:rFonts w:eastAsia="Times New Roman" w:cstheme="minorHAnsi"/>
          <w:b/>
          <w:bCs/>
          <w:sz w:val="24"/>
          <w:szCs w:val="24"/>
          <w:lang w:val="lt"/>
        </w:rPr>
        <w:t xml:space="preserve">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709316</w:t>
      </w:r>
      <w:r w:rsidRPr="0065334E">
        <w:rPr>
          <w:rFonts w:cstheme="minorHAnsi"/>
          <w:b/>
          <w:bCs/>
          <w:sz w:val="24"/>
          <w:szCs w:val="24"/>
          <w:lang w:eastAsia="lt-LT"/>
        </w:rPr>
        <w:t xml:space="preserve"> „</w:t>
      </w:r>
      <w:r>
        <w:rPr>
          <w:rFonts w:cstheme="minorHAnsi"/>
          <w:b/>
          <w:bCs/>
          <w:sz w:val="24"/>
          <w:szCs w:val="24"/>
          <w:lang w:eastAsia="lt-LT"/>
        </w:rPr>
        <w:t xml:space="preserve">Kelių priežiūros ir remonto darbai apdorojant asfaltbetonio dangos paviršių </w:t>
      </w:r>
      <w:proofErr w:type="spellStart"/>
      <w:r>
        <w:rPr>
          <w:rFonts w:cstheme="minorHAnsi"/>
          <w:b/>
          <w:bCs/>
          <w:sz w:val="24"/>
          <w:szCs w:val="24"/>
          <w:lang w:eastAsia="lt-LT"/>
        </w:rPr>
        <w:t>emuslija</w:t>
      </w:r>
      <w:proofErr w:type="spellEnd"/>
      <w:r>
        <w:rPr>
          <w:rFonts w:cstheme="minorHAnsi"/>
          <w:b/>
          <w:bCs/>
          <w:sz w:val="24"/>
          <w:szCs w:val="24"/>
          <w:lang w:eastAsia="lt-LT"/>
        </w:rPr>
        <w:t xml:space="preserve"> ir skaldele pirkimas</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6ED1C485" w14:textId="77777777" w:rsidR="00A50E02" w:rsidRPr="0065334E" w:rsidRDefault="00A50E02" w:rsidP="00A50E02">
      <w:pPr>
        <w:spacing w:after="0" w:line="276" w:lineRule="auto"/>
        <w:ind w:firstLine="709"/>
        <w:rPr>
          <w:rFonts w:cstheme="minorHAnsi"/>
          <w:sz w:val="24"/>
          <w:szCs w:val="24"/>
          <w:lang w:eastAsia="lt-LT"/>
        </w:rPr>
      </w:pPr>
      <w:r w:rsidRPr="0065334E">
        <w:rPr>
          <w:rFonts w:cstheme="minorHAnsi"/>
          <w:sz w:val="24"/>
          <w:szCs w:val="24"/>
          <w:lang w:eastAsia="lt-LT"/>
        </w:rPr>
        <w:t xml:space="preserve">Tarnyba, prevencine tvarka peržiūrėjusi Pirkimo dokumentus ir atsižvelgdama į galiojantį teisinį reglamentavimą, </w:t>
      </w:r>
      <w:r w:rsidRPr="00624C19">
        <w:rPr>
          <w:rFonts w:cstheme="minorHAnsi"/>
          <w:sz w:val="24"/>
          <w:szCs w:val="24"/>
          <w:lang w:eastAsia="lt-LT"/>
        </w:rPr>
        <w:t>teikia klausimus,</w:t>
      </w:r>
      <w:r w:rsidRPr="00B87319">
        <w:rPr>
          <w:rFonts w:cstheme="minorHAnsi"/>
          <w:sz w:val="24"/>
          <w:szCs w:val="24"/>
          <w:lang w:eastAsia="lt-LT"/>
        </w:rPr>
        <w:t xml:space="preserve"> pastabas ir rekomendacijas</w:t>
      </w:r>
      <w:r w:rsidRPr="0065334E">
        <w:rPr>
          <w:rFonts w:cstheme="minorHAnsi"/>
          <w:sz w:val="24"/>
          <w:szCs w:val="24"/>
          <w:lang w:eastAsia="lt-LT"/>
        </w:rPr>
        <w:t xml:space="preserve"> (toliau – Rekomendacija) dėl Pirkimo dokumentų nuostatų.</w:t>
      </w:r>
    </w:p>
    <w:p w14:paraId="7245C2ED" w14:textId="77777777" w:rsidR="00A50E02" w:rsidRPr="007B2BAC" w:rsidRDefault="00A50E02" w:rsidP="00A50E02">
      <w:pPr>
        <w:pStyle w:val="ListParagraph"/>
        <w:numPr>
          <w:ilvl w:val="0"/>
          <w:numId w:val="1"/>
        </w:numPr>
        <w:tabs>
          <w:tab w:val="left" w:pos="993"/>
        </w:tabs>
        <w:spacing w:after="0" w:line="276" w:lineRule="auto"/>
        <w:ind w:left="0" w:firstLine="709"/>
        <w:rPr>
          <w:rFonts w:cstheme="minorHAnsi"/>
          <w:b/>
          <w:bCs/>
          <w:sz w:val="24"/>
          <w:szCs w:val="24"/>
        </w:rPr>
      </w:pPr>
      <w:r w:rsidRPr="007B2BAC">
        <w:rPr>
          <w:rFonts w:cstheme="minorHAnsi"/>
          <w:b/>
          <w:bCs/>
          <w:sz w:val="24"/>
          <w:szCs w:val="24"/>
        </w:rPr>
        <w:t>Dėl pašalinimo pagrindų</w:t>
      </w:r>
    </w:p>
    <w:p w14:paraId="795402B8" w14:textId="77777777" w:rsidR="00A50E02" w:rsidRDefault="00A50E02" w:rsidP="00A50E02">
      <w:pPr>
        <w:spacing w:after="0" w:line="276" w:lineRule="auto"/>
        <w:ind w:firstLine="709"/>
        <w:rPr>
          <w:rFonts w:ascii="Times New Roman" w:eastAsia="Times New Roman" w:hAnsi="Times New Roman" w:cs="Calibri"/>
          <w:sz w:val="24"/>
          <w:lang w:eastAsia="ar-SA"/>
        </w:rPr>
      </w:pPr>
      <w:r w:rsidRPr="007B2BAC">
        <w:rPr>
          <w:rFonts w:cstheme="minorHAnsi"/>
          <w:sz w:val="24"/>
          <w:szCs w:val="24"/>
        </w:rPr>
        <w:t>Pirkimo sąlygų 3 priedo „Tiekėjų pašalinimo pagrindai“ 1 lentelės „Tiekėjo pašalinimo pagrindai“ 13 eilutėje nustatytas tiekėjo pašalinimo pagrindas: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r w:rsidRPr="007B2BAC">
        <w:rPr>
          <w:rFonts w:cstheme="minorHAnsi"/>
          <w:sz w:val="24"/>
          <w:szCs w:val="24"/>
          <w:vertAlign w:val="superscript"/>
        </w:rPr>
        <w:footnoteReference w:id="1"/>
      </w:r>
      <w:r w:rsidRPr="007B2BAC">
        <w:rPr>
          <w:rFonts w:cstheme="minorHAnsi"/>
          <w:sz w:val="24"/>
          <w:szCs w:val="24"/>
        </w:rPr>
        <w:t>“</w:t>
      </w:r>
      <w:r>
        <w:rPr>
          <w:rFonts w:cstheme="minorHAnsi"/>
          <w:sz w:val="24"/>
          <w:szCs w:val="24"/>
        </w:rPr>
        <w:t xml:space="preserve">. Šį pašalinimo pagrindą pagrindžiančiuose dokumentuose nustatyta, kad „ &lt;...&gt; </w:t>
      </w:r>
      <w:r w:rsidRPr="007B2BAC">
        <w:rPr>
          <w:rFonts w:cstheme="minorHAnsi"/>
          <w:sz w:val="24"/>
          <w:szCs w:val="24"/>
        </w:rPr>
        <w:t xml:space="preserve">Priimant sprendimus dėl tiekėjo pašalinimo iš pirkimo procedūros šiame punkte nurodytu pašalinimo pagrindu, be kita ko, atsižvelgiama į nacionalinėje duomenų bazėje adresu: </w:t>
      </w:r>
      <w:hyperlink r:id="rId7" w:history="1">
        <w:r w:rsidRPr="007B2BAC">
          <w:rPr>
            <w:rFonts w:cstheme="minorHAnsi"/>
            <w:b/>
            <w:bCs/>
            <w:sz w:val="24"/>
            <w:szCs w:val="24"/>
          </w:rPr>
          <w:t>https://www.vmvt.lt/node/839?language=lt</w:t>
        </w:r>
      </w:hyperlink>
      <w:r w:rsidRPr="007B2BAC">
        <w:rPr>
          <w:rFonts w:cstheme="minorHAnsi"/>
          <w:sz w:val="24"/>
          <w:szCs w:val="24"/>
        </w:rPr>
        <w:t xml:space="preserve"> skelbiamą informaciją</w:t>
      </w:r>
      <w:r>
        <w:rPr>
          <w:rFonts w:cstheme="minorHAnsi"/>
          <w:sz w:val="24"/>
          <w:szCs w:val="24"/>
        </w:rPr>
        <w:t>“</w:t>
      </w:r>
      <w:r w:rsidRPr="007B2BAC">
        <w:rPr>
          <w:rFonts w:cstheme="minorHAnsi"/>
          <w:sz w:val="24"/>
          <w:szCs w:val="24"/>
        </w:rPr>
        <w:t>.</w:t>
      </w:r>
      <w:r>
        <w:rPr>
          <w:rFonts w:cstheme="minorHAnsi"/>
          <w:sz w:val="24"/>
          <w:szCs w:val="24"/>
        </w:rPr>
        <w:t xml:space="preserve"> Atsižvelgiant į tai, kad šio </w:t>
      </w:r>
      <w:r w:rsidRPr="007B2BAC">
        <w:rPr>
          <w:rFonts w:cstheme="minorHAnsi"/>
          <w:sz w:val="24"/>
          <w:szCs w:val="24"/>
        </w:rPr>
        <w:t xml:space="preserve">Pirkimo objektas yra </w:t>
      </w:r>
      <w:r w:rsidRPr="007B2BAC">
        <w:rPr>
          <w:rFonts w:ascii="Times New Roman" w:eastAsia="Times New Roman" w:hAnsi="Times New Roman" w:cs="Calibri"/>
          <w:b/>
          <w:bCs/>
          <w:sz w:val="24"/>
          <w:lang w:eastAsia="ar-SA"/>
        </w:rPr>
        <w:t>kelių priežiūros ir remonto darb</w:t>
      </w:r>
      <w:r>
        <w:rPr>
          <w:rFonts w:ascii="Times New Roman" w:eastAsia="Times New Roman" w:hAnsi="Times New Roman" w:cs="Calibri"/>
          <w:b/>
          <w:bCs/>
          <w:sz w:val="24"/>
          <w:lang w:eastAsia="ar-SA"/>
        </w:rPr>
        <w:t>ai</w:t>
      </w:r>
      <w:r w:rsidRPr="007B2BAC">
        <w:rPr>
          <w:rFonts w:ascii="Times New Roman" w:eastAsia="Times New Roman" w:hAnsi="Times New Roman" w:cs="Calibri"/>
          <w:b/>
          <w:bCs/>
          <w:sz w:val="24"/>
          <w:lang w:eastAsia="ar-SA"/>
        </w:rPr>
        <w:t xml:space="preserve"> apdorojant asfaltbetonio dangos paviršių emulsija ir skaldele</w:t>
      </w:r>
      <w:r w:rsidRPr="007B2BAC">
        <w:rPr>
          <w:rFonts w:ascii="Times New Roman" w:eastAsia="Times New Roman" w:hAnsi="Times New Roman" w:cs="Calibri"/>
          <w:sz w:val="24"/>
          <w:lang w:eastAsia="ar-SA"/>
        </w:rPr>
        <w:t xml:space="preserve">, o </w:t>
      </w:r>
      <w:r w:rsidRPr="007B2BAC">
        <w:rPr>
          <w:rFonts w:ascii="Times New Roman" w:eastAsia="Times New Roman" w:hAnsi="Times New Roman" w:cs="Calibri"/>
          <w:b/>
          <w:bCs/>
          <w:sz w:val="24"/>
          <w:lang w:eastAsia="ar-SA"/>
        </w:rPr>
        <w:t>ne maistas ar maisto tvarkymo paslaugos</w:t>
      </w:r>
      <w:r w:rsidRPr="007B2BAC">
        <w:rPr>
          <w:rFonts w:ascii="Times New Roman" w:eastAsia="Times New Roman" w:hAnsi="Times New Roman" w:cs="Calibri"/>
          <w:sz w:val="24"/>
          <w:lang w:eastAsia="ar-SA"/>
        </w:rPr>
        <w:t xml:space="preserve">, Tarnyba rekomenduoja tikslinti tiekėjo pašalinimo pagrindų lentelės 13 eilutėje nustatytą pašalinimo pagrindą, atsisakant </w:t>
      </w:r>
      <w:r w:rsidRPr="008770B7">
        <w:rPr>
          <w:rFonts w:ascii="Times New Roman" w:eastAsia="Times New Roman" w:hAnsi="Times New Roman" w:cs="Calibri"/>
          <w:sz w:val="24"/>
          <w:lang w:eastAsia="ar-SA"/>
        </w:rPr>
        <w:t>nuorodos</w:t>
      </w:r>
      <w:r w:rsidRPr="00B85CC5">
        <w:rPr>
          <w:rFonts w:ascii="Times New Roman" w:eastAsia="Times New Roman" w:hAnsi="Times New Roman" w:cs="Calibri"/>
          <w:sz w:val="24"/>
          <w:lang w:eastAsia="ar-SA"/>
        </w:rPr>
        <w:t xml:space="preserve"> į </w:t>
      </w:r>
      <w:hyperlink r:id="rId8" w:history="1">
        <w:r w:rsidRPr="001E6C3B">
          <w:rPr>
            <w:rStyle w:val="Hyperlink"/>
            <w:rFonts w:ascii="Times New Roman" w:eastAsia="Times New Roman" w:hAnsi="Times New Roman" w:cs="Calibri"/>
            <w:sz w:val="24"/>
            <w:lang w:eastAsia="ar-SA"/>
          </w:rPr>
          <w:t>Nepatikimų maisto tvarkymo subjektų sąrašą</w:t>
        </w:r>
      </w:hyperlink>
      <w:r w:rsidRPr="007B2BAC">
        <w:rPr>
          <w:rFonts w:ascii="Times New Roman" w:eastAsia="Times New Roman" w:hAnsi="Times New Roman" w:cs="Calibri"/>
          <w:sz w:val="24"/>
          <w:lang w:eastAsia="ar-SA"/>
        </w:rPr>
        <w:t xml:space="preserve">, bei </w:t>
      </w:r>
      <w:r>
        <w:rPr>
          <w:rFonts w:ascii="Times New Roman" w:eastAsia="Times New Roman" w:hAnsi="Times New Roman" w:cs="Calibri"/>
          <w:sz w:val="24"/>
          <w:lang w:eastAsia="ar-SA"/>
        </w:rPr>
        <w:t xml:space="preserve">prie </w:t>
      </w:r>
      <w:r w:rsidRPr="007B2BAC">
        <w:rPr>
          <w:rFonts w:ascii="Times New Roman" w:eastAsia="Times New Roman" w:hAnsi="Times New Roman" w:cs="Calibri"/>
          <w:sz w:val="24"/>
          <w:lang w:eastAsia="ar-SA"/>
        </w:rPr>
        <w:t>pašalinimo pagrindą pagrindžianči</w:t>
      </w:r>
      <w:r>
        <w:rPr>
          <w:rFonts w:ascii="Times New Roman" w:eastAsia="Times New Roman" w:hAnsi="Times New Roman" w:cs="Calibri"/>
          <w:sz w:val="24"/>
          <w:lang w:eastAsia="ar-SA"/>
        </w:rPr>
        <w:t>ų</w:t>
      </w:r>
      <w:r w:rsidRPr="007B2BAC">
        <w:rPr>
          <w:rFonts w:ascii="Times New Roman" w:eastAsia="Times New Roman" w:hAnsi="Times New Roman" w:cs="Calibri"/>
          <w:sz w:val="24"/>
          <w:lang w:eastAsia="ar-SA"/>
        </w:rPr>
        <w:t xml:space="preserve"> dokument</w:t>
      </w:r>
      <w:r>
        <w:rPr>
          <w:rFonts w:ascii="Times New Roman" w:eastAsia="Times New Roman" w:hAnsi="Times New Roman" w:cs="Calibri"/>
          <w:sz w:val="24"/>
          <w:lang w:eastAsia="ar-SA"/>
        </w:rPr>
        <w:t>ų pateiktą nuorodą</w:t>
      </w:r>
      <w:r w:rsidRPr="007B2BAC">
        <w:rPr>
          <w:rFonts w:ascii="Times New Roman" w:eastAsia="Times New Roman" w:hAnsi="Times New Roman" w:cs="Calibri"/>
          <w:sz w:val="24"/>
          <w:lang w:eastAsia="ar-SA"/>
        </w:rPr>
        <w:t>.</w:t>
      </w:r>
      <w:r>
        <w:rPr>
          <w:rFonts w:ascii="Times New Roman" w:eastAsia="Times New Roman" w:hAnsi="Times New Roman" w:cs="Calibri"/>
          <w:sz w:val="24"/>
          <w:lang w:eastAsia="ar-SA"/>
        </w:rPr>
        <w:t xml:space="preserve"> </w:t>
      </w:r>
      <w:r>
        <w:rPr>
          <w:rFonts w:ascii="Calibri" w:eastAsia="Calibri" w:hAnsi="Calibri" w:cs="Calibri"/>
          <w:color w:val="000000" w:themeColor="text1"/>
          <w:sz w:val="24"/>
          <w:szCs w:val="24"/>
          <w:lang w:val="lt"/>
        </w:rPr>
        <w:t>Tikslinant</w:t>
      </w:r>
      <w:r w:rsidRPr="009965E0">
        <w:rPr>
          <w:rFonts w:ascii="Calibri" w:eastAsia="Calibri" w:hAnsi="Calibri" w:cs="Calibri"/>
          <w:color w:val="000000" w:themeColor="text1"/>
          <w:sz w:val="24"/>
          <w:szCs w:val="24"/>
          <w:lang w:val="lt"/>
        </w:rPr>
        <w:t xml:space="preserve"> Tiekėjų pašalinimo pagrindų lentelę, rekomenduojam</w:t>
      </w:r>
      <w:r>
        <w:rPr>
          <w:rFonts w:ascii="Calibri" w:eastAsia="Calibri" w:hAnsi="Calibri" w:cs="Calibri"/>
          <w:color w:val="000000" w:themeColor="text1"/>
          <w:sz w:val="24"/>
          <w:szCs w:val="24"/>
          <w:lang w:val="lt"/>
        </w:rPr>
        <w:t>a</w:t>
      </w:r>
      <w:r w:rsidRPr="009965E0">
        <w:rPr>
          <w:rFonts w:ascii="Calibri" w:eastAsia="Calibri" w:hAnsi="Calibri" w:cs="Calibri"/>
          <w:color w:val="000000" w:themeColor="text1"/>
          <w:sz w:val="24"/>
          <w:szCs w:val="24"/>
          <w:lang w:val="lt"/>
        </w:rPr>
        <w:t xml:space="preserve"> vadovautis Tarnybos parengta </w:t>
      </w:r>
      <w:hyperlink r:id="rId9">
        <w:r w:rsidRPr="009965E0">
          <w:rPr>
            <w:rFonts w:ascii="Calibri" w:eastAsia="Calibri" w:hAnsi="Calibri" w:cs="Calibri"/>
            <w:color w:val="0563C1"/>
            <w:sz w:val="24"/>
            <w:szCs w:val="24"/>
            <w:u w:val="single"/>
            <w:lang w:val="lt"/>
          </w:rPr>
          <w:t>Pavyzdine pašalinimo pagrindų lentele</w:t>
        </w:r>
      </w:hyperlink>
      <w:r w:rsidRPr="009965E0">
        <w:rPr>
          <w:rFonts w:ascii="Calibri" w:eastAsia="Calibri" w:hAnsi="Calibri" w:cs="Calibri"/>
          <w:color w:val="000000" w:themeColor="text1"/>
          <w:sz w:val="24"/>
          <w:szCs w:val="24"/>
          <w:lang w:val="lt"/>
        </w:rPr>
        <w:t>.</w:t>
      </w:r>
    </w:p>
    <w:p w14:paraId="26F9458E" w14:textId="77777777" w:rsidR="00A50E02" w:rsidRDefault="00A50E02" w:rsidP="00A50E02">
      <w:pPr>
        <w:pStyle w:val="ListParagraph"/>
        <w:numPr>
          <w:ilvl w:val="0"/>
          <w:numId w:val="1"/>
        </w:numPr>
        <w:tabs>
          <w:tab w:val="left" w:pos="993"/>
        </w:tabs>
        <w:spacing w:after="0" w:line="276" w:lineRule="auto"/>
        <w:ind w:hanging="11"/>
        <w:rPr>
          <w:rFonts w:cstheme="minorHAnsi"/>
          <w:b/>
          <w:bCs/>
          <w:sz w:val="24"/>
          <w:szCs w:val="24"/>
        </w:rPr>
      </w:pPr>
      <w:r w:rsidRPr="00C26135">
        <w:rPr>
          <w:rFonts w:cstheme="minorHAnsi"/>
          <w:b/>
          <w:bCs/>
          <w:sz w:val="24"/>
          <w:szCs w:val="24"/>
        </w:rPr>
        <w:t>Dėl tiekėjų kvalifikacijos reikalavimų</w:t>
      </w:r>
    </w:p>
    <w:p w14:paraId="43EE240A" w14:textId="77777777" w:rsidR="00A50E02" w:rsidRPr="000D397B" w:rsidRDefault="00A50E02" w:rsidP="00A50E02">
      <w:pPr>
        <w:tabs>
          <w:tab w:val="left" w:pos="709"/>
        </w:tabs>
        <w:spacing w:after="0" w:line="276" w:lineRule="auto"/>
        <w:ind w:firstLine="709"/>
        <w:rPr>
          <w:rFonts w:cstheme="minorHAnsi"/>
          <w:color w:val="000000"/>
          <w:sz w:val="24"/>
          <w:szCs w:val="24"/>
          <w:lang w:eastAsia="ar-SA"/>
        </w:rPr>
      </w:pPr>
      <w:r w:rsidRPr="000D397B">
        <w:rPr>
          <w:rFonts w:cstheme="minorHAnsi"/>
          <w:sz w:val="24"/>
          <w:szCs w:val="24"/>
        </w:rPr>
        <w:t>Pirkimo sąlygų 4 priedo „Tiekėjų kvalifikacijos reikalavimai ir reikalaujami kokybės bei aplinkos apsaugos vadybos sistemų standartai“ 1 lentelės „Kvalifikacijos reikalavimai“ 1 punkte nustatytas reikalavimas „</w:t>
      </w:r>
      <w:r w:rsidRPr="000D397B">
        <w:rPr>
          <w:rFonts w:cstheme="minorHAnsi"/>
          <w:color w:val="000000"/>
          <w:sz w:val="24"/>
          <w:szCs w:val="24"/>
          <w:lang w:eastAsia="ar-SA"/>
        </w:rPr>
        <w:t xml:space="preserve">Tiekėjas privalo turėti ir paskirti &lt;...&gt; bent 1 specialistą, Lietuvos Respublikos statybos įstatymo nustatyta tvarka turintį teisę eiti </w:t>
      </w:r>
      <w:r w:rsidRPr="000D397B">
        <w:rPr>
          <w:rFonts w:cstheme="minorHAnsi"/>
          <w:b/>
          <w:bCs/>
          <w:color w:val="000000"/>
          <w:sz w:val="24"/>
          <w:szCs w:val="24"/>
          <w:lang w:eastAsia="ar-SA"/>
        </w:rPr>
        <w:t>neypatingojo statinio</w:t>
      </w:r>
      <w:r w:rsidRPr="000D397B">
        <w:rPr>
          <w:rFonts w:cstheme="minorHAnsi"/>
          <w:color w:val="000000"/>
          <w:sz w:val="24"/>
          <w:szCs w:val="24"/>
          <w:lang w:eastAsia="ar-SA"/>
        </w:rPr>
        <w:t xml:space="preserve"> </w:t>
      </w:r>
      <w:r w:rsidRPr="000D397B">
        <w:rPr>
          <w:rFonts w:cstheme="minorHAnsi"/>
          <w:color w:val="000000"/>
          <w:sz w:val="24"/>
          <w:szCs w:val="24"/>
          <w:lang w:eastAsia="ar-SA"/>
        </w:rPr>
        <w:lastRenderedPageBreak/>
        <w:t>kategorijai priskiriamo statinio statybos vadovo pareigas statinių grupės susisiekimo komunikacijos pogrupyje keliai“.</w:t>
      </w:r>
    </w:p>
    <w:p w14:paraId="21E96A1A" w14:textId="77777777" w:rsidR="00A50E02" w:rsidRDefault="00A50E02" w:rsidP="00A50E02">
      <w:pPr>
        <w:spacing w:after="0" w:line="276" w:lineRule="auto"/>
        <w:ind w:firstLine="720"/>
        <w:rPr>
          <w:rFonts w:cstheme="minorHAnsi"/>
          <w:bCs/>
          <w:sz w:val="24"/>
          <w:szCs w:val="24"/>
        </w:rPr>
      </w:pPr>
      <w:r w:rsidRPr="000D397B">
        <w:rPr>
          <w:rFonts w:cstheme="minorHAnsi"/>
          <w:bCs/>
          <w:sz w:val="24"/>
          <w:szCs w:val="24"/>
        </w:rPr>
        <w:t>Įvertinus tai, kad apie Pirkimo objektą galima spręsti tik iš pavadinimo „</w:t>
      </w:r>
      <w:r>
        <w:rPr>
          <w:rFonts w:cstheme="minorHAnsi"/>
          <w:bCs/>
          <w:sz w:val="24"/>
          <w:szCs w:val="24"/>
        </w:rPr>
        <w:t xml:space="preserve">kelių priežiūros ir remonto darbai apdorojant asfaltbetonio dangos paviršių emulsija ir skaldele“, </w:t>
      </w:r>
      <w:r w:rsidRPr="000D397B">
        <w:rPr>
          <w:rFonts w:cstheme="minorHAnsi"/>
          <w:bCs/>
          <w:sz w:val="24"/>
          <w:szCs w:val="24"/>
        </w:rPr>
        <w:t xml:space="preserve">Tarnyba prašo paaiškinti, kokios kategorijos keliai </w:t>
      </w:r>
      <w:r>
        <w:rPr>
          <w:rFonts w:cstheme="minorHAnsi"/>
          <w:bCs/>
          <w:sz w:val="24"/>
          <w:szCs w:val="24"/>
        </w:rPr>
        <w:t>bus remontuojami ir prižiūrimi pagal šį Pirkimą, t. y.</w:t>
      </w:r>
      <w:r w:rsidRPr="00585483">
        <w:rPr>
          <w:rFonts w:cstheme="minorHAnsi"/>
          <w:bCs/>
          <w:sz w:val="24"/>
          <w:szCs w:val="24"/>
        </w:rPr>
        <w:t xml:space="preserve"> kokiu pagrindu nustatytas reikalavimas statinio statybos vadovui nurodant </w:t>
      </w:r>
      <w:r w:rsidRPr="00BF3C22">
        <w:rPr>
          <w:rFonts w:cstheme="minorHAnsi"/>
          <w:b/>
          <w:sz w:val="24"/>
          <w:szCs w:val="24"/>
        </w:rPr>
        <w:t>neypatinguosius</w:t>
      </w:r>
      <w:r w:rsidRPr="00585483">
        <w:rPr>
          <w:rFonts w:cstheme="minorHAnsi"/>
          <w:bCs/>
          <w:sz w:val="24"/>
          <w:szCs w:val="24"/>
        </w:rPr>
        <w:t xml:space="preserve"> statinius</w:t>
      </w:r>
      <w:r w:rsidRPr="000D397B">
        <w:rPr>
          <w:rFonts w:cstheme="minorHAnsi"/>
          <w:bCs/>
          <w:sz w:val="24"/>
          <w:szCs w:val="24"/>
        </w:rPr>
        <w:t xml:space="preserve">? </w:t>
      </w:r>
      <w:r w:rsidRPr="00BF3C22">
        <w:rPr>
          <w:rFonts w:cstheme="minorHAnsi"/>
          <w:bCs/>
          <w:sz w:val="24"/>
          <w:szCs w:val="24"/>
        </w:rPr>
        <w:t>Pažymėtina, kad STR 1.01.03:2017 „Statinių klasifikavimas“ V skyriuje nurodyti ypatingieji susisiekimo komunikacijų statiniai</w:t>
      </w:r>
      <w:r w:rsidRPr="00BF3C22">
        <w:rPr>
          <w:rStyle w:val="FootnoteReference"/>
          <w:rFonts w:cstheme="minorHAnsi"/>
          <w:bCs/>
          <w:sz w:val="24"/>
          <w:szCs w:val="24"/>
        </w:rPr>
        <w:footnoteReference w:id="2"/>
      </w:r>
      <w:r w:rsidRPr="00BF3C22">
        <w:rPr>
          <w:rFonts w:cstheme="minorHAnsi"/>
          <w:bCs/>
          <w:sz w:val="24"/>
          <w:szCs w:val="24"/>
        </w:rPr>
        <w:t xml:space="preserve"> , to paties STR VI skyriuje – nesudėtingieji</w:t>
      </w:r>
      <w:r w:rsidRPr="00BF3C22">
        <w:rPr>
          <w:rStyle w:val="FootnoteReference"/>
          <w:rFonts w:cstheme="minorHAnsi"/>
          <w:bCs/>
          <w:sz w:val="24"/>
          <w:szCs w:val="24"/>
        </w:rPr>
        <w:footnoteReference w:id="3"/>
      </w:r>
      <w:r w:rsidRPr="00BF3C22">
        <w:rPr>
          <w:rFonts w:cstheme="minorHAnsi"/>
          <w:bCs/>
          <w:sz w:val="24"/>
          <w:szCs w:val="24"/>
        </w:rPr>
        <w:t>, o Statybos įstatymo 2 straipsnio 28 punkte apibrėžti neypatingieji statiniai</w:t>
      </w:r>
      <w:r w:rsidRPr="00BF3C22">
        <w:rPr>
          <w:rStyle w:val="FootnoteReference"/>
          <w:rFonts w:cstheme="minorHAnsi"/>
          <w:bCs/>
          <w:sz w:val="24"/>
          <w:szCs w:val="24"/>
        </w:rPr>
        <w:footnoteReference w:id="4"/>
      </w:r>
      <w:r w:rsidRPr="00BF3C22">
        <w:rPr>
          <w:rFonts w:cstheme="minorHAnsi"/>
          <w:bCs/>
          <w:sz w:val="24"/>
          <w:szCs w:val="24"/>
        </w:rPr>
        <w:t xml:space="preserve">, taip pat Statybos įstatymo 12 straipsnio 9 dalyje nustatyta, kad „Vadovauti </w:t>
      </w:r>
      <w:r w:rsidRPr="00BF3C22">
        <w:rPr>
          <w:rFonts w:cstheme="minorHAnsi"/>
          <w:b/>
          <w:bCs/>
          <w:sz w:val="24"/>
          <w:szCs w:val="24"/>
          <w:lang w:val="lt"/>
        </w:rPr>
        <w:t>nesudėtingojo statinio</w:t>
      </w:r>
      <w:r w:rsidRPr="00BF3C22">
        <w:rPr>
          <w:rFonts w:cstheme="minorHAnsi"/>
          <w:bCs/>
          <w:sz w:val="24"/>
          <w:szCs w:val="24"/>
          <w:lang w:val="lt"/>
        </w:rPr>
        <w:t xml:space="preserve"> projektavimui, statinio projekto vykdymo priežiūrai, statinio statybos techninei priežiūrai ir </w:t>
      </w:r>
      <w:r w:rsidRPr="00BF3C22">
        <w:rPr>
          <w:rFonts w:cstheme="minorHAnsi"/>
          <w:b/>
          <w:bCs/>
          <w:sz w:val="24"/>
          <w:szCs w:val="24"/>
          <w:lang w:val="lt"/>
        </w:rPr>
        <w:t>statybai</w:t>
      </w:r>
      <w:r w:rsidRPr="00BF3C22">
        <w:rPr>
          <w:rFonts w:cstheme="minorHAnsi"/>
          <w:bCs/>
          <w:sz w:val="24"/>
          <w:szCs w:val="24"/>
          <w:lang w:val="lt"/>
        </w:rPr>
        <w:t xml:space="preserve"> turi teisę asmenys, įgiję šio įstatymo 2 straipsnio 1 arba 92 dalyje nurodytą išsilavinimą“ (architekto ar statybos inžinieriaus)</w:t>
      </w:r>
      <w:r w:rsidRPr="00BF3C22">
        <w:rPr>
          <w:rFonts w:cstheme="minorHAnsi"/>
          <w:bCs/>
          <w:sz w:val="24"/>
          <w:szCs w:val="24"/>
        </w:rPr>
        <w:t>, taip pat Statybos techninio reglamento STR 1.06.01:2016 „Statybos darbai. Statinio statybos priežiūra“ 15.4 papunktyje nurodyta, kad „vadovauti nesudėtingojo statinio statybai turi teisę neatestuoti asmenys &lt;...&gt;“</w:t>
      </w:r>
      <w:r>
        <w:rPr>
          <w:rFonts w:cstheme="minorHAnsi"/>
          <w:bCs/>
          <w:sz w:val="24"/>
          <w:szCs w:val="24"/>
        </w:rPr>
        <w:t>. Atkreiptinas dėmesys, kad kvalifikacijos reikalavimai turi būti susiję su Pirkimo objektu, todėl Perkančioji organizacija turėtų galėti pagrįsti kvalifikacijos reikalavimo būtinumą ir proporcingumą Pirkimo objektui.</w:t>
      </w:r>
    </w:p>
    <w:p w14:paraId="12983274" w14:textId="77777777" w:rsidR="00A50E02" w:rsidRDefault="00A50E02" w:rsidP="00A50E02">
      <w:pPr>
        <w:spacing w:after="0" w:line="276" w:lineRule="auto"/>
        <w:ind w:firstLine="720"/>
        <w:rPr>
          <w:rFonts w:cstheme="minorHAnsi"/>
          <w:sz w:val="24"/>
          <w:szCs w:val="24"/>
        </w:rPr>
      </w:pPr>
      <w:r>
        <w:rPr>
          <w:rFonts w:cstheme="minorHAnsi"/>
          <w:sz w:val="24"/>
          <w:szCs w:val="24"/>
        </w:rPr>
        <w:t xml:space="preserve">Tarnyba taip pat atkreipia dėmesį, kad po kvalifikacijos reikalavimu paskutinėje pastaboje nurodyta „&lt;...&gt; </w:t>
      </w:r>
      <w:r w:rsidRPr="001A1D36">
        <w:rPr>
          <w:rFonts w:cstheme="minorHAnsi"/>
          <w:sz w:val="24"/>
          <w:szCs w:val="24"/>
        </w:rPr>
        <w:t xml:space="preserve">keičiami specialistai turėtų ne mažesnę nei </w:t>
      </w:r>
      <w:r w:rsidRPr="00BF3C22">
        <w:rPr>
          <w:rFonts w:cstheme="minorHAnsi"/>
          <w:b/>
          <w:bCs/>
          <w:sz w:val="24"/>
          <w:szCs w:val="24"/>
        </w:rPr>
        <w:t>reikalaujama patirtį</w:t>
      </w:r>
      <w:r w:rsidRPr="001A1D36">
        <w:rPr>
          <w:rFonts w:cstheme="minorHAnsi"/>
          <w:sz w:val="24"/>
          <w:szCs w:val="24"/>
        </w:rPr>
        <w:t>.</w:t>
      </w:r>
      <w:r>
        <w:rPr>
          <w:rFonts w:cstheme="minorHAnsi"/>
          <w:sz w:val="24"/>
          <w:szCs w:val="24"/>
        </w:rPr>
        <w:t>“ Pažymėtina, kad pačiame kvalifikacijos reikalavime nėra reikalaujama specialistui turėti patirties, todėl rekomenduotina šią pastraipą tikslinti/pašalinti.</w:t>
      </w:r>
    </w:p>
    <w:p w14:paraId="73D438CC" w14:textId="77777777" w:rsidR="00A50E02" w:rsidRDefault="00A50E02" w:rsidP="00A50E02">
      <w:pPr>
        <w:pStyle w:val="paragraph"/>
        <w:numPr>
          <w:ilvl w:val="0"/>
          <w:numId w:val="1"/>
        </w:numPr>
        <w:tabs>
          <w:tab w:val="left" w:pos="993"/>
        </w:tabs>
        <w:spacing w:before="0" w:beforeAutospacing="0" w:after="0" w:afterAutospacing="0" w:line="276" w:lineRule="auto"/>
        <w:ind w:left="0" w:firstLine="709"/>
        <w:textAlignment w:val="baseline"/>
        <w:rPr>
          <w:rFonts w:cstheme="minorHAnsi"/>
          <w:b/>
          <w:bCs/>
        </w:rPr>
      </w:pPr>
      <w:r w:rsidRPr="0010090F">
        <w:rPr>
          <w:rFonts w:cstheme="minorHAnsi"/>
          <w:b/>
          <w:bCs/>
        </w:rPr>
        <w:t>Dėl sutarties projekto nuostatų</w:t>
      </w:r>
    </w:p>
    <w:p w14:paraId="2F93CDD7" w14:textId="77777777" w:rsidR="00A50E02" w:rsidRDefault="00A50E02" w:rsidP="00A50E02">
      <w:pPr>
        <w:pStyle w:val="ListParagraph"/>
        <w:numPr>
          <w:ilvl w:val="1"/>
          <w:numId w:val="1"/>
        </w:numPr>
        <w:shd w:val="clear" w:color="auto" w:fill="FFFFFF"/>
        <w:tabs>
          <w:tab w:val="left" w:pos="1134"/>
        </w:tabs>
        <w:suppressAutoHyphens/>
        <w:spacing w:after="0" w:line="276" w:lineRule="auto"/>
        <w:ind w:left="0" w:firstLine="709"/>
        <w:rPr>
          <w:rFonts w:eastAsia="Calibri" w:cstheme="minorHAnsi"/>
          <w:sz w:val="24"/>
          <w:szCs w:val="24"/>
        </w:rPr>
      </w:pPr>
      <w:r>
        <w:rPr>
          <w:rFonts w:eastAsia="Times New Roman" w:cstheme="minorHAnsi"/>
          <w:sz w:val="24"/>
          <w:szCs w:val="24"/>
          <w:lang w:eastAsia="lt-LT"/>
        </w:rPr>
        <w:t xml:space="preserve">Pirkimo sąlygų 10 priedo „Sutarties projektas“ (toliau – Sutarties projektas) </w:t>
      </w:r>
      <w:r w:rsidRPr="00BA7435">
        <w:rPr>
          <w:rFonts w:eastAsia="Times New Roman" w:cstheme="minorHAnsi"/>
          <w:sz w:val="24"/>
          <w:szCs w:val="24"/>
          <w:lang w:eastAsia="lt-LT"/>
        </w:rPr>
        <w:t>4.3 punkte nustatyta, kad „J</w:t>
      </w:r>
      <w:r w:rsidRPr="00BA7435">
        <w:rPr>
          <w:rFonts w:eastAsia="Calibri" w:cstheme="minorHAnsi"/>
          <w:sz w:val="24"/>
          <w:szCs w:val="24"/>
        </w:rPr>
        <w:t xml:space="preserve">ei Rangovas </w:t>
      </w:r>
      <w:r w:rsidRPr="00BA7435">
        <w:rPr>
          <w:rFonts w:eastAsia="Calibri" w:cstheme="minorHAnsi"/>
          <w:b/>
          <w:bCs/>
          <w:sz w:val="24"/>
          <w:szCs w:val="24"/>
        </w:rPr>
        <w:t>per 5 (penkias) darbo dienas</w:t>
      </w:r>
      <w:r w:rsidRPr="00BA7435">
        <w:rPr>
          <w:rFonts w:eastAsia="Calibri" w:cstheme="minorHAnsi"/>
          <w:sz w:val="24"/>
          <w:szCs w:val="24"/>
        </w:rPr>
        <w:t xml:space="preserve"> nepasirašo Sutarties 2.2 punkte</w:t>
      </w:r>
      <w:r>
        <w:rPr>
          <w:rStyle w:val="FootnoteReference"/>
          <w:rFonts w:eastAsia="Calibri" w:cstheme="minorHAnsi"/>
          <w:sz w:val="24"/>
          <w:szCs w:val="24"/>
        </w:rPr>
        <w:footnoteReference w:id="5"/>
      </w:r>
      <w:r w:rsidRPr="00BA7435">
        <w:rPr>
          <w:rFonts w:eastAsia="Calibri" w:cstheme="minorHAnsi"/>
          <w:sz w:val="24"/>
          <w:szCs w:val="24"/>
        </w:rPr>
        <w:t xml:space="preserve"> nurodyto papildomo susitarimo prie Sutarties ir Užsakovui nepateikia šio termino </w:t>
      </w:r>
      <w:r w:rsidRPr="00BA7435">
        <w:rPr>
          <w:rFonts w:eastAsia="Calibri" w:cstheme="minorHAnsi"/>
          <w:sz w:val="24"/>
          <w:szCs w:val="24"/>
        </w:rPr>
        <w:lastRenderedPageBreak/>
        <w:t>praleidimą pagrindžiančių įrodymų, laikoma, kad Rangovas padarė esminį sutarties pažeidimą</w:t>
      </w:r>
      <w:r>
        <w:rPr>
          <w:rFonts w:eastAsia="Calibri" w:cstheme="minorHAnsi"/>
          <w:sz w:val="24"/>
          <w:szCs w:val="24"/>
        </w:rPr>
        <w:t>“</w:t>
      </w:r>
      <w:r w:rsidRPr="00BA7435">
        <w:rPr>
          <w:rFonts w:eastAsia="Calibri" w:cstheme="minorHAnsi"/>
          <w:sz w:val="24"/>
          <w:szCs w:val="24"/>
        </w:rPr>
        <w:t xml:space="preserve">. </w:t>
      </w:r>
      <w:r>
        <w:rPr>
          <w:rFonts w:eastAsia="Calibri" w:cstheme="minorHAnsi"/>
          <w:sz w:val="24"/>
          <w:szCs w:val="24"/>
        </w:rPr>
        <w:t xml:space="preserve">Tarnyba prašo paaiškinti, nuo kokio momento bus skaičiuojamas 5 darbo dienų terminas – ar Tauragės rajono savivaldybės tarybai patvirtinus objektų sąrašus ir lėšas, ar Perkančiajai organizacijai informavus rangovą apie gautas savivaldybės biudžeto lėšas ar kitą finansavimą, ar Rangovui suderinus su </w:t>
      </w:r>
      <w:r w:rsidRPr="00DA67E2">
        <w:rPr>
          <w:rFonts w:eastAsia="Calibri" w:cstheme="minorHAnsi"/>
          <w:sz w:val="24"/>
          <w:szCs w:val="24"/>
        </w:rPr>
        <w:t>seniūnijų seniūnais Darbų atlikimo laiką ir kiekius konkrečiame (-</w:t>
      </w:r>
      <w:proofErr w:type="spellStart"/>
      <w:r w:rsidRPr="00DA67E2">
        <w:rPr>
          <w:rFonts w:eastAsia="Calibri" w:cstheme="minorHAnsi"/>
          <w:sz w:val="24"/>
          <w:szCs w:val="24"/>
        </w:rPr>
        <w:t>iuose</w:t>
      </w:r>
      <w:proofErr w:type="spellEnd"/>
      <w:r w:rsidRPr="00DA67E2">
        <w:rPr>
          <w:rFonts w:eastAsia="Calibri" w:cstheme="minorHAnsi"/>
          <w:sz w:val="24"/>
          <w:szCs w:val="24"/>
        </w:rPr>
        <w:t>) objekte (-</w:t>
      </w:r>
      <w:proofErr w:type="spellStart"/>
      <w:r w:rsidRPr="00DA67E2">
        <w:rPr>
          <w:rFonts w:eastAsia="Calibri" w:cstheme="minorHAnsi"/>
          <w:sz w:val="24"/>
          <w:szCs w:val="24"/>
        </w:rPr>
        <w:t>uose</w:t>
      </w:r>
      <w:proofErr w:type="spellEnd"/>
      <w:r w:rsidRPr="00DA67E2">
        <w:rPr>
          <w:rFonts w:eastAsia="Calibri" w:cstheme="minorHAnsi"/>
          <w:sz w:val="24"/>
          <w:szCs w:val="24"/>
        </w:rPr>
        <w:t>)</w:t>
      </w:r>
      <w:r>
        <w:rPr>
          <w:rFonts w:eastAsia="Calibri" w:cstheme="minorHAnsi"/>
          <w:sz w:val="24"/>
          <w:szCs w:val="24"/>
        </w:rPr>
        <w:t xml:space="preserve"> ir t.t.?</w:t>
      </w:r>
    </w:p>
    <w:p w14:paraId="544C81F4" w14:textId="77777777" w:rsidR="00A50E02" w:rsidRPr="00D21636" w:rsidRDefault="00A50E02" w:rsidP="00A50E02">
      <w:pPr>
        <w:pStyle w:val="ListParagraph"/>
        <w:numPr>
          <w:ilvl w:val="1"/>
          <w:numId w:val="1"/>
        </w:numPr>
        <w:shd w:val="clear" w:color="auto" w:fill="FFFFFF"/>
        <w:tabs>
          <w:tab w:val="left" w:pos="1134"/>
          <w:tab w:val="left" w:pos="1418"/>
          <w:tab w:val="left" w:pos="1701"/>
        </w:tabs>
        <w:suppressAutoHyphens/>
        <w:spacing w:after="0" w:line="276" w:lineRule="auto"/>
        <w:ind w:left="0" w:firstLine="709"/>
        <w:rPr>
          <w:rFonts w:eastAsia="Calibri" w:cstheme="minorHAnsi"/>
          <w:i/>
          <w:iCs/>
          <w:sz w:val="24"/>
          <w:szCs w:val="24"/>
        </w:rPr>
      </w:pPr>
      <w:r w:rsidRPr="005C58F6">
        <w:rPr>
          <w:rFonts w:eastAsia="Calibri" w:cstheme="minorHAnsi"/>
          <w:sz w:val="24"/>
          <w:szCs w:val="24"/>
        </w:rPr>
        <w:t xml:space="preserve">Sutarties projekto 4.5 punkte nustatyta, kad „Rangovas privalo darbus pradėti ne vėliau kaip per 5 darbo dienas </w:t>
      </w:r>
      <w:r w:rsidRPr="005C58F6">
        <w:rPr>
          <w:rFonts w:eastAsia="Calibri" w:cstheme="minorHAnsi"/>
          <w:b/>
          <w:bCs/>
          <w:sz w:val="24"/>
          <w:szCs w:val="24"/>
        </w:rPr>
        <w:t>nuo seniūnijos, kurioje jis dirba, užsakymo darbams atlikti gavimo</w:t>
      </w:r>
      <w:r w:rsidRPr="005C58F6">
        <w:rPr>
          <w:rFonts w:eastAsia="Calibri" w:cstheme="minorHAnsi"/>
          <w:sz w:val="24"/>
          <w:szCs w:val="24"/>
        </w:rPr>
        <w:t xml:space="preserve">“. Sutarties projekto 4.2 punkte nurodyta, kad „Rangovas, gavęs informaciją iš seniūnijos, parengia ir suderina su Tauragės rajono savivaldybės administracija bei seniūnija </w:t>
      </w:r>
      <w:r w:rsidRPr="005C58F6">
        <w:rPr>
          <w:rFonts w:eastAsia="Calibri" w:cstheme="minorHAnsi"/>
          <w:b/>
          <w:bCs/>
          <w:sz w:val="24"/>
          <w:szCs w:val="24"/>
        </w:rPr>
        <w:t>darbų vykdymo grafiką</w:t>
      </w:r>
      <w:r w:rsidRPr="005C58F6">
        <w:rPr>
          <w:rFonts w:eastAsia="Calibri" w:cstheme="minorHAnsi"/>
          <w:sz w:val="24"/>
          <w:szCs w:val="24"/>
        </w:rPr>
        <w:t>, kuriame pateikiama ši informacija: 4.2.1. darbų atlikimo terminai (</w:t>
      </w:r>
      <w:r w:rsidRPr="00D21636">
        <w:rPr>
          <w:rFonts w:eastAsia="Calibri" w:cstheme="minorHAnsi"/>
          <w:sz w:val="24"/>
          <w:szCs w:val="24"/>
        </w:rPr>
        <w:t>mėnesiais); 4.2.2. vykdomų</w:t>
      </w:r>
      <w:r w:rsidRPr="00D21636">
        <w:rPr>
          <w:rFonts w:eastAsia="Calibri" w:cstheme="minorHAnsi"/>
          <w:color w:val="FF0000"/>
          <w:sz w:val="24"/>
          <w:szCs w:val="24"/>
        </w:rPr>
        <w:t xml:space="preserve"> </w:t>
      </w:r>
      <w:r w:rsidRPr="00D21636">
        <w:rPr>
          <w:rFonts w:eastAsia="Calibri" w:cstheme="minorHAnsi"/>
          <w:sz w:val="24"/>
          <w:szCs w:val="24"/>
        </w:rPr>
        <w:t xml:space="preserve">darbų sumos bei apimtys“. Tarnyba prašo paaiškinti, ar </w:t>
      </w:r>
      <w:r>
        <w:rPr>
          <w:rFonts w:eastAsia="Calibri" w:cstheme="minorHAnsi"/>
          <w:sz w:val="24"/>
          <w:szCs w:val="24"/>
        </w:rPr>
        <w:t xml:space="preserve">turi būti suprantama, kad po </w:t>
      </w:r>
      <w:r w:rsidRPr="00BA7435">
        <w:rPr>
          <w:rFonts w:eastAsia="Calibri" w:cstheme="minorHAnsi"/>
          <w:sz w:val="24"/>
          <w:szCs w:val="24"/>
        </w:rPr>
        <w:t xml:space="preserve">papildomo susitarimo prie Sutarties </w:t>
      </w:r>
      <w:r>
        <w:rPr>
          <w:rFonts w:eastAsia="Calibri" w:cstheme="minorHAnsi"/>
          <w:sz w:val="24"/>
          <w:szCs w:val="24"/>
        </w:rPr>
        <w:t xml:space="preserve">pasirašymo (pagal Sutarties projekto 2.2 punktą) bus teikiami atskiri seniūnų užsakymai </w:t>
      </w:r>
      <w:r w:rsidRPr="00D21636">
        <w:rPr>
          <w:rFonts w:eastAsia="Calibri" w:cstheme="minorHAnsi"/>
          <w:sz w:val="24"/>
          <w:szCs w:val="24"/>
        </w:rPr>
        <w:t>darba</w:t>
      </w:r>
      <w:r>
        <w:rPr>
          <w:rFonts w:eastAsia="Calibri" w:cstheme="minorHAnsi"/>
          <w:sz w:val="24"/>
          <w:szCs w:val="24"/>
        </w:rPr>
        <w:t>ms</w:t>
      </w:r>
      <w:r w:rsidRPr="00D21636">
        <w:rPr>
          <w:rFonts w:eastAsia="Calibri" w:cstheme="minorHAnsi"/>
          <w:sz w:val="24"/>
          <w:szCs w:val="24"/>
        </w:rPr>
        <w:t xml:space="preserve"> </w:t>
      </w:r>
      <w:r>
        <w:rPr>
          <w:rFonts w:eastAsia="Calibri" w:cstheme="minorHAnsi"/>
          <w:sz w:val="24"/>
          <w:szCs w:val="24"/>
        </w:rPr>
        <w:t>ir bus vėl derinami darbų vykdymo grafikai pagal Sutarties projekto 4.2 punktą?</w:t>
      </w:r>
    </w:p>
    <w:p w14:paraId="1622471C" w14:textId="77777777" w:rsidR="00A50E02" w:rsidRPr="007A530A" w:rsidRDefault="00A50E02" w:rsidP="00A50E02">
      <w:pPr>
        <w:pStyle w:val="ListParagraph"/>
        <w:numPr>
          <w:ilvl w:val="1"/>
          <w:numId w:val="1"/>
        </w:numPr>
        <w:shd w:val="clear" w:color="auto" w:fill="FFFFFF"/>
        <w:tabs>
          <w:tab w:val="left" w:pos="1134"/>
          <w:tab w:val="left" w:pos="1418"/>
          <w:tab w:val="left" w:pos="1560"/>
          <w:tab w:val="left" w:pos="1701"/>
        </w:tabs>
        <w:suppressAutoHyphens/>
        <w:spacing w:after="0" w:line="276" w:lineRule="auto"/>
        <w:ind w:left="0" w:firstLine="709"/>
        <w:rPr>
          <w:rFonts w:eastAsia="Calibri" w:cstheme="minorHAnsi"/>
          <w:b/>
          <w:bCs/>
          <w:sz w:val="24"/>
          <w:szCs w:val="24"/>
        </w:rPr>
      </w:pPr>
      <w:r w:rsidRPr="00D21636">
        <w:rPr>
          <w:rFonts w:eastAsia="Calibri" w:cstheme="minorHAnsi"/>
          <w:sz w:val="24"/>
          <w:szCs w:val="24"/>
        </w:rPr>
        <w:t>Sutarties projekto 6.3.8 punkte nustatyta, kad „</w:t>
      </w:r>
      <w:r w:rsidRPr="00D21636">
        <w:rPr>
          <w:rFonts w:eastAsia="Times New Roman" w:cstheme="minorHAnsi"/>
          <w:sz w:val="24"/>
          <w:szCs w:val="24"/>
        </w:rPr>
        <w:t xml:space="preserve">Užsakovui pareikalavus, raštu informuoti Užsakovą apie objekte dirbančius </w:t>
      </w:r>
      <w:r w:rsidRPr="00D21636">
        <w:rPr>
          <w:rFonts w:eastAsia="Times New Roman" w:cstheme="minorHAnsi"/>
          <w:b/>
          <w:bCs/>
          <w:sz w:val="24"/>
          <w:szCs w:val="24"/>
        </w:rPr>
        <w:t>subtiekėjus</w:t>
      </w:r>
      <w:r w:rsidRPr="00D21636">
        <w:rPr>
          <w:rFonts w:eastAsia="Times New Roman" w:cstheme="minorHAnsi"/>
          <w:sz w:val="24"/>
          <w:szCs w:val="24"/>
        </w:rPr>
        <w:t xml:space="preserve">. Jų </w:t>
      </w:r>
      <w:r w:rsidRPr="00D21636">
        <w:rPr>
          <w:rFonts w:eastAsia="Times New Roman" w:cstheme="minorHAnsi"/>
          <w:b/>
          <w:bCs/>
          <w:sz w:val="24"/>
          <w:szCs w:val="24"/>
        </w:rPr>
        <w:t>sąrašas turi sutapti su konkursinio pasiūlymo dokumentuose pateiktu sąrašu</w:t>
      </w:r>
      <w:r w:rsidRPr="00D21636">
        <w:rPr>
          <w:rFonts w:eastAsia="Times New Roman" w:cstheme="minorHAnsi"/>
          <w:sz w:val="24"/>
          <w:szCs w:val="24"/>
        </w:rPr>
        <w:t xml:space="preserve">“. Tarnyba atkreipia dėmesį į Sutarties projekto </w:t>
      </w:r>
      <w:r w:rsidRPr="00D21636">
        <w:rPr>
          <w:rFonts w:eastAsia="Calibri" w:cstheme="minorHAnsi"/>
          <w:sz w:val="24"/>
          <w:szCs w:val="24"/>
        </w:rPr>
        <w:t>6.3.13 punktą, kuriame nustatyta, jog „P</w:t>
      </w:r>
      <w:r w:rsidRPr="00D21636">
        <w:rPr>
          <w:rFonts w:eastAsia="Times New Roman" w:cstheme="minorHAnsi"/>
          <w:sz w:val="24"/>
          <w:szCs w:val="24"/>
        </w:rPr>
        <w:t xml:space="preserve">asirašius Sutartį, tačiau ne vėliau negu Sutartis pradedama vykdyti, pateikti Užsakovui tuo metu žinomų subtiekėjų pavadinimus, kontaktinius duomenis ir jų atstovus. Taip pat įsipareigoja informuoti apie minėtos </w:t>
      </w:r>
      <w:r w:rsidRPr="00D21636">
        <w:rPr>
          <w:rFonts w:eastAsia="Times New Roman" w:cstheme="minorHAnsi"/>
          <w:b/>
          <w:bCs/>
          <w:sz w:val="24"/>
          <w:szCs w:val="24"/>
        </w:rPr>
        <w:t>informacijos pasikeitimus visą Sutarties galiojimo laikotarpį, taip pat apie naujus subtiekėjus</w:t>
      </w:r>
      <w:r>
        <w:rPr>
          <w:rFonts w:eastAsia="Times New Roman" w:cstheme="minorHAnsi"/>
          <w:sz w:val="24"/>
          <w:szCs w:val="24"/>
        </w:rPr>
        <w:t>“</w:t>
      </w:r>
      <w:r w:rsidRPr="00D21636">
        <w:rPr>
          <w:rFonts w:eastAsia="Times New Roman" w:cstheme="minorHAnsi"/>
          <w:sz w:val="24"/>
          <w:szCs w:val="24"/>
        </w:rPr>
        <w:t>.</w:t>
      </w:r>
      <w:r>
        <w:rPr>
          <w:rFonts w:eastAsia="Times New Roman" w:cstheme="minorHAnsi"/>
          <w:sz w:val="24"/>
          <w:szCs w:val="24"/>
        </w:rPr>
        <w:t xml:space="preserve"> Atsižvelgiant į tai, kas nurodyta, Tarnyba rekomenduoja tikslinti dviprasmiškas Sutarties projekto nuostatas.</w:t>
      </w:r>
    </w:p>
    <w:p w14:paraId="3C0EAC01" w14:textId="77777777" w:rsidR="00A50E02" w:rsidRPr="004D344F" w:rsidRDefault="00A50E02" w:rsidP="00A50E02">
      <w:pPr>
        <w:pStyle w:val="ListParagraph"/>
        <w:widowControl w:val="0"/>
        <w:numPr>
          <w:ilvl w:val="1"/>
          <w:numId w:val="1"/>
        </w:numPr>
        <w:shd w:val="clear" w:color="auto" w:fill="FFFFFF"/>
        <w:tabs>
          <w:tab w:val="left" w:pos="1134"/>
          <w:tab w:val="left" w:pos="1276"/>
          <w:tab w:val="left" w:pos="1418"/>
          <w:tab w:val="left" w:pos="1560"/>
          <w:tab w:val="left" w:pos="1701"/>
        </w:tabs>
        <w:suppressAutoHyphens/>
        <w:spacing w:after="0" w:line="276" w:lineRule="auto"/>
        <w:ind w:left="0" w:firstLine="709"/>
        <w:rPr>
          <w:rFonts w:eastAsia="Calibri" w:cstheme="minorHAnsi"/>
          <w:sz w:val="24"/>
          <w:szCs w:val="24"/>
        </w:rPr>
      </w:pPr>
      <w:r w:rsidRPr="004D344F">
        <w:rPr>
          <w:rFonts w:eastAsia="Calibri" w:cstheme="minorHAnsi"/>
          <w:sz w:val="24"/>
          <w:szCs w:val="24"/>
        </w:rPr>
        <w:t>Sutarties projekto 7.3 punkte nustatyta, kad „</w:t>
      </w:r>
      <w:r w:rsidRPr="004D344F">
        <w:rPr>
          <w:rFonts w:eastAsia="Times New Roman" w:cstheme="minorHAnsi"/>
          <w:sz w:val="24"/>
          <w:szCs w:val="24"/>
        </w:rPr>
        <w:t xml:space="preserve">Rangovas, </w:t>
      </w:r>
      <w:r w:rsidRPr="004D344F">
        <w:rPr>
          <w:rFonts w:eastAsia="Times New Roman" w:cstheme="minorHAnsi"/>
          <w:color w:val="000000"/>
          <w:sz w:val="24"/>
          <w:szCs w:val="24"/>
        </w:rPr>
        <w:t xml:space="preserve">atsilikdamas nuo suderinto darbų grafiko, moka Užsakovui 0,02 % nuo Sutarties 2.2. punkte nurodytame Papildomame susitarime nustatytų neatliktų </w:t>
      </w:r>
      <w:r w:rsidRPr="004D344F">
        <w:rPr>
          <w:rFonts w:eastAsia="Times New Roman" w:cstheme="minorHAnsi"/>
          <w:b/>
          <w:bCs/>
          <w:color w:val="000000"/>
          <w:sz w:val="24"/>
          <w:szCs w:val="24"/>
        </w:rPr>
        <w:t xml:space="preserve">Darbų </w:t>
      </w:r>
      <w:r w:rsidRPr="004D344F">
        <w:rPr>
          <w:rFonts w:eastAsia="Times New Roman" w:cstheme="minorHAnsi"/>
          <w:b/>
          <w:bCs/>
          <w:sz w:val="24"/>
          <w:szCs w:val="24"/>
        </w:rPr>
        <w:t>vertės</w:t>
      </w:r>
      <w:r w:rsidRPr="004D344F">
        <w:rPr>
          <w:rFonts w:eastAsia="Times New Roman" w:cstheme="minorHAnsi"/>
          <w:sz w:val="24"/>
          <w:szCs w:val="24"/>
        </w:rPr>
        <w:t xml:space="preserve"> </w:t>
      </w:r>
      <w:r w:rsidRPr="004D344F">
        <w:rPr>
          <w:rFonts w:eastAsia="Times New Roman" w:cstheme="minorHAnsi"/>
          <w:color w:val="000000"/>
          <w:sz w:val="24"/>
          <w:szCs w:val="24"/>
        </w:rPr>
        <w:t xml:space="preserve">delspinigius už kiekvieną uždelstą </w:t>
      </w:r>
      <w:r w:rsidRPr="004D344F">
        <w:rPr>
          <w:rFonts w:eastAsia="Times New Roman" w:cstheme="minorHAnsi"/>
          <w:sz w:val="24"/>
          <w:szCs w:val="24"/>
        </w:rPr>
        <w:t>dieną ir atlygina dėl to patirtus nuostolius. &lt;...&gt;“. Tarnyba rekomenduoja tikslinti šią Sutarties projekto nuostatą</w:t>
      </w:r>
      <w:r>
        <w:rPr>
          <w:rFonts w:eastAsia="Times New Roman" w:cstheme="minorHAnsi"/>
          <w:sz w:val="24"/>
          <w:szCs w:val="24"/>
        </w:rPr>
        <w:t xml:space="preserve"> aiškiai nurodant</w:t>
      </w:r>
      <w:r w:rsidRPr="004D344F">
        <w:rPr>
          <w:rFonts w:eastAsia="Times New Roman" w:cstheme="minorHAnsi"/>
          <w:sz w:val="24"/>
          <w:szCs w:val="24"/>
        </w:rPr>
        <w:t xml:space="preserve">, ar delspinigiai bus skaičiuojami nuo neatliktų </w:t>
      </w:r>
      <w:r>
        <w:rPr>
          <w:rFonts w:eastAsia="Times New Roman" w:cstheme="minorHAnsi"/>
          <w:sz w:val="24"/>
          <w:szCs w:val="24"/>
        </w:rPr>
        <w:t>D</w:t>
      </w:r>
      <w:r w:rsidRPr="004D344F">
        <w:rPr>
          <w:rFonts w:eastAsia="Times New Roman" w:cstheme="minorHAnsi"/>
          <w:sz w:val="24"/>
          <w:szCs w:val="24"/>
        </w:rPr>
        <w:t xml:space="preserve">arbų vertės </w:t>
      </w:r>
      <w:r w:rsidRPr="004D344F">
        <w:rPr>
          <w:rFonts w:ascii="Calibri" w:eastAsia="Times New Roman" w:hAnsi="Calibri" w:cs="Calibri"/>
          <w:sz w:val="24"/>
          <w:szCs w:val="24"/>
          <w:lang w:eastAsia="lt-LT"/>
        </w:rPr>
        <w:t>su PVM ar be PVM.</w:t>
      </w:r>
    </w:p>
    <w:p w14:paraId="19E969FF" w14:textId="77777777" w:rsidR="00A50E02" w:rsidRDefault="00A50E02" w:rsidP="00A50E02">
      <w:pPr>
        <w:pStyle w:val="ListParagraph"/>
        <w:widowControl w:val="0"/>
        <w:numPr>
          <w:ilvl w:val="1"/>
          <w:numId w:val="1"/>
        </w:numPr>
        <w:shd w:val="clear" w:color="auto" w:fill="FFFFFF"/>
        <w:tabs>
          <w:tab w:val="left" w:pos="1134"/>
          <w:tab w:val="left" w:pos="1276"/>
          <w:tab w:val="left" w:pos="1418"/>
          <w:tab w:val="left" w:pos="1560"/>
          <w:tab w:val="left" w:pos="1701"/>
        </w:tabs>
        <w:suppressAutoHyphens/>
        <w:autoSpaceDE w:val="0"/>
        <w:autoSpaceDN w:val="0"/>
        <w:adjustRightInd w:val="0"/>
        <w:spacing w:after="0" w:line="276" w:lineRule="auto"/>
        <w:ind w:left="0" w:firstLine="720"/>
        <w:rPr>
          <w:rFonts w:eastAsia="Calibri" w:cstheme="minorHAnsi"/>
          <w:sz w:val="24"/>
          <w:szCs w:val="24"/>
        </w:rPr>
      </w:pPr>
      <w:r w:rsidRPr="009452A5">
        <w:rPr>
          <w:rFonts w:eastAsia="Calibri" w:cstheme="minorHAnsi"/>
          <w:sz w:val="24"/>
          <w:szCs w:val="24"/>
        </w:rPr>
        <w:t xml:space="preserve">Sutarties projekto 10.6.3 punkte nustatyta, kad „Gavęs &lt;...&gt; informaciją apie Rangovo specialistų keitimą ir visus su jų kvalifikacija bei </w:t>
      </w:r>
      <w:r w:rsidRPr="009452A5">
        <w:rPr>
          <w:rFonts w:eastAsia="Calibri" w:cstheme="minorHAnsi"/>
          <w:b/>
          <w:bCs/>
          <w:sz w:val="24"/>
          <w:szCs w:val="24"/>
        </w:rPr>
        <w:t>patirtimi susijusius dokumentus</w:t>
      </w:r>
      <w:r w:rsidRPr="009452A5">
        <w:rPr>
          <w:rFonts w:eastAsia="Calibri" w:cstheme="minorHAnsi"/>
          <w:sz w:val="24"/>
          <w:szCs w:val="24"/>
        </w:rPr>
        <w:t xml:space="preserve">, Užsakovas per 5 kalendorines dienas patikrina siūlomų specialistų kvalifikaciją bei </w:t>
      </w:r>
      <w:r w:rsidRPr="009452A5">
        <w:rPr>
          <w:rFonts w:eastAsia="Calibri" w:cstheme="minorHAnsi"/>
          <w:b/>
          <w:bCs/>
          <w:sz w:val="24"/>
          <w:szCs w:val="24"/>
        </w:rPr>
        <w:t>patirtį</w:t>
      </w:r>
      <w:r w:rsidRPr="009452A5">
        <w:rPr>
          <w:rFonts w:eastAsia="Calibri" w:cstheme="minorHAnsi"/>
          <w:sz w:val="24"/>
          <w:szCs w:val="24"/>
        </w:rPr>
        <w:t xml:space="preserve"> ir priima sprendimą dėl specialistų tinkamumo/netinkamumo bei apie tai informuoja Rangovą“.</w:t>
      </w:r>
      <w:r>
        <w:rPr>
          <w:rFonts w:eastAsia="Calibri" w:cstheme="minorHAnsi"/>
          <w:sz w:val="24"/>
          <w:szCs w:val="24"/>
        </w:rPr>
        <w:t xml:space="preserve"> Atsižvelgiant į tai, kad kvalifikacijos reikalavimuose nėra nustatyto reikalavimo rangovo specialistų patirčiai, Tarnyba rekomenduoja tikslinti šią Sutarties projekto nuostatą.</w:t>
      </w:r>
    </w:p>
    <w:p w14:paraId="2A9427FE" w14:textId="77777777" w:rsidR="00A50E02" w:rsidRPr="00624C19" w:rsidRDefault="00A50E02" w:rsidP="00A50E02">
      <w:pPr>
        <w:pStyle w:val="ListParagraph"/>
        <w:numPr>
          <w:ilvl w:val="1"/>
          <w:numId w:val="1"/>
        </w:numPr>
        <w:tabs>
          <w:tab w:val="left" w:pos="1276"/>
        </w:tabs>
        <w:spacing w:after="0" w:line="276" w:lineRule="auto"/>
        <w:ind w:left="0" w:firstLine="709"/>
        <w:rPr>
          <w:rFonts w:eastAsia="Calibri" w:cstheme="minorHAnsi"/>
          <w:kern w:val="2"/>
          <w:sz w:val="24"/>
          <w:szCs w:val="24"/>
          <w:lang w:val="lt"/>
          <w14:ligatures w14:val="standardContextual"/>
        </w:rPr>
      </w:pPr>
      <w:r w:rsidRPr="00624C19">
        <w:rPr>
          <w:rFonts w:cstheme="minorHAnsi"/>
          <w:sz w:val="24"/>
          <w:szCs w:val="24"/>
          <w:lang w:val="lt"/>
        </w:rPr>
        <w:lastRenderedPageBreak/>
        <w:t xml:space="preserve">Sutarties projekto 3.7 punkte nustatyta, kad </w:t>
      </w:r>
      <w:r w:rsidRPr="00624C19">
        <w:rPr>
          <w:rFonts w:eastAsia="Times New Roman" w:cstheme="minorHAnsi"/>
          <w:sz w:val="24"/>
          <w:szCs w:val="24"/>
        </w:rPr>
        <w:t xml:space="preserve">„Už faktiškai atliktus </w:t>
      </w:r>
      <w:r w:rsidRPr="00624C19">
        <w:rPr>
          <w:rFonts w:cstheme="minorHAnsi"/>
          <w:sz w:val="24"/>
          <w:szCs w:val="24"/>
        </w:rPr>
        <w:t xml:space="preserve">darbus Užsakovas įsipareigoja sumokėti Rangovui &lt;...&gt; per 30 dienų nuo dokumentų patvirtinimo dienos. Tais atvejais, kai vėluoja finansavimas, Užsakovas įsipareigoja sumokėti Rangovui ne ilgiau kaip </w:t>
      </w:r>
      <w:r w:rsidRPr="00624C19">
        <w:rPr>
          <w:rFonts w:cstheme="minorHAnsi"/>
          <w:b/>
          <w:bCs/>
          <w:sz w:val="24"/>
          <w:szCs w:val="24"/>
        </w:rPr>
        <w:t>per 60 kalendorinių dienų</w:t>
      </w:r>
      <w:r w:rsidRPr="00624C19">
        <w:rPr>
          <w:rFonts w:cstheme="minorHAnsi"/>
          <w:sz w:val="24"/>
          <w:szCs w:val="24"/>
        </w:rPr>
        <w:t xml:space="preserve"> nuo darbų atlikimo dienos. &lt;...&gt;“. </w:t>
      </w:r>
      <w:r w:rsidRPr="00624C19">
        <w:rPr>
          <w:rFonts w:eastAsia="Calibri" w:cstheme="minorHAnsi"/>
          <w:sz w:val="24"/>
          <w:szCs w:val="24"/>
          <w:lang w:val="lt"/>
        </w:rPr>
        <w:t xml:space="preserve">Pažymėtina, kad mokėjimo laikotarpiai (atsiskaitymo terminai) turi atitikti </w:t>
      </w:r>
      <w:hyperlink r:id="rId10">
        <w:r w:rsidRPr="00624C19">
          <w:rPr>
            <w:rFonts w:eastAsia="Calibri" w:cstheme="minorHAnsi"/>
            <w:color w:val="0563C1" w:themeColor="hyperlink"/>
            <w:kern w:val="2"/>
            <w:sz w:val="24"/>
            <w:szCs w:val="24"/>
            <w:u w:val="single"/>
            <w:lang w:val="lt"/>
            <w14:ligatures w14:val="standardContextual"/>
          </w:rPr>
          <w:t>Lietuvos Respublikos mokėjimų, atliekamų pagal komercines sutartis, vėlavimo prevencijos įstatymo</w:t>
        </w:r>
      </w:hyperlink>
      <w:r w:rsidRPr="00624C19">
        <w:rPr>
          <w:rFonts w:eastAsia="Calibri" w:cstheme="minorHAnsi"/>
          <w:sz w:val="24"/>
          <w:szCs w:val="24"/>
          <w:lang w:val="lt"/>
        </w:rPr>
        <w:t xml:space="preserve"> 5 straipsnyje nustatytus reikalavimus. </w:t>
      </w:r>
      <w:r w:rsidRPr="00624C19">
        <w:rPr>
          <w:rStyle w:val="normaltextrun"/>
          <w:color w:val="000000"/>
          <w:sz w:val="24"/>
          <w:szCs w:val="24"/>
          <w:shd w:val="clear" w:color="auto" w:fill="FFFFFF"/>
        </w:rPr>
        <w:t xml:space="preserve">Atvejai, dėl kurių galimas apmokėjimas neviršijant </w:t>
      </w:r>
      <w:r w:rsidRPr="00624C19">
        <w:rPr>
          <w:rStyle w:val="findhit"/>
          <w:color w:val="000000"/>
          <w:sz w:val="24"/>
          <w:szCs w:val="24"/>
          <w:shd w:val="clear" w:color="auto" w:fill="FFFFFF"/>
        </w:rPr>
        <w:t>60</w:t>
      </w:r>
      <w:r w:rsidRPr="00624C19">
        <w:rPr>
          <w:rStyle w:val="normaltextrun"/>
          <w:color w:val="000000"/>
          <w:sz w:val="24"/>
          <w:szCs w:val="24"/>
          <w:shd w:val="clear" w:color="auto" w:fill="FFFFFF"/>
        </w:rPr>
        <w:t xml:space="preserve"> kalendorinių dienų, nurodyti šio straipsnio 3 dalyje</w:t>
      </w:r>
      <w:r>
        <w:rPr>
          <w:rStyle w:val="FootnoteReference"/>
          <w:color w:val="000000"/>
          <w:sz w:val="24"/>
          <w:szCs w:val="24"/>
          <w:shd w:val="clear" w:color="auto" w:fill="FFFFFF"/>
        </w:rPr>
        <w:footnoteReference w:id="6"/>
      </w:r>
      <w:r w:rsidRPr="00624C19">
        <w:rPr>
          <w:rStyle w:val="normaltextrun"/>
          <w:color w:val="000000"/>
          <w:sz w:val="24"/>
          <w:szCs w:val="24"/>
          <w:shd w:val="clear" w:color="auto" w:fill="FFFFFF"/>
        </w:rPr>
        <w:t xml:space="preserve">. Tarnybos nuomone, finansavimo vėlavimas nepatenka į įstatyme nurodytus atvejus. Pažymėtina, kad viena iš priežasčių, kodėl apmokėjimas už atliktus darbus gali būti atliekamas per </w:t>
      </w:r>
      <w:r w:rsidRPr="00624C19">
        <w:rPr>
          <w:rStyle w:val="findhit"/>
          <w:color w:val="000000"/>
          <w:sz w:val="24"/>
          <w:szCs w:val="24"/>
          <w:shd w:val="clear" w:color="auto" w:fill="FFFFFF"/>
        </w:rPr>
        <w:t>60</w:t>
      </w:r>
      <w:r w:rsidRPr="00624C19">
        <w:rPr>
          <w:rStyle w:val="normaltextrun"/>
          <w:color w:val="000000"/>
          <w:sz w:val="24"/>
          <w:szCs w:val="24"/>
          <w:shd w:val="clear" w:color="auto" w:fill="FFFFFF"/>
        </w:rPr>
        <w:t xml:space="preserve"> dienų, galėtų būti finansavimas iš Europos Sąjungos struktūrinių fondų, kitų šaltinių (Kelių priežiūros ir plėtros programos lėšų) ir pan., todėl Tarnyba rekomenduoja patikslinti Pirkimo dokumentus, nurodant visus finansavimo šaltinius (jei tokių yra), siekiant pagrįsti 60 dienų apmokėjimą.</w:t>
      </w:r>
    </w:p>
    <w:p w14:paraId="6EBF327C" w14:textId="77777777" w:rsidR="00A50E02" w:rsidRPr="00642EC0" w:rsidRDefault="00A50E02" w:rsidP="00A50E02">
      <w:pPr>
        <w:spacing w:after="0" w:line="276" w:lineRule="auto"/>
        <w:ind w:firstLine="567"/>
        <w:jc w:val="both"/>
        <w:rPr>
          <w:rFonts w:eastAsia="Calibri" w:cstheme="minorHAnsi"/>
          <w:sz w:val="24"/>
          <w:szCs w:val="24"/>
        </w:rPr>
      </w:pPr>
      <w:r w:rsidRPr="00642EC0">
        <w:rPr>
          <w:rStyle w:val="normaltextrun"/>
          <w:rFonts w:cstheme="minorHAnsi"/>
          <w:color w:val="000000"/>
          <w:sz w:val="24"/>
          <w:szCs w:val="24"/>
        </w:rPr>
        <w:t>Atsižvelgdama į tai, kas nurodyta, Tarnyba rekomenduoja peržiūrėti ir patikslinti Pirkimo dokumentus pagal šioje Rekomendacijoje pateiktas pastab</w:t>
      </w:r>
      <w:r>
        <w:rPr>
          <w:rStyle w:val="normaltextrun"/>
          <w:rFonts w:cstheme="minorHAnsi"/>
          <w:color w:val="000000"/>
          <w:sz w:val="24"/>
          <w:szCs w:val="24"/>
        </w:rPr>
        <w:t>as</w:t>
      </w:r>
      <w:r w:rsidRPr="00642EC0">
        <w:rPr>
          <w:rStyle w:val="normaltextrun"/>
          <w:rFonts w:cstheme="minorHAnsi"/>
          <w:color w:val="000000"/>
          <w:sz w:val="24"/>
          <w:szCs w:val="24"/>
        </w:rPr>
        <w:t xml:space="preserve">. Primename, kad Perkančioji organizacija, patikslinusi Pirkimo dokumentus, turi visus pakeitimus paskelbti viešai Centrinėje viešųjų pirkimų informacinėje sistemoje (CVP IS) ir </w:t>
      </w:r>
      <w:r w:rsidRPr="00642EC0">
        <w:rPr>
          <w:rStyle w:val="normaltextrun"/>
          <w:rFonts w:cstheme="minorHAnsi"/>
          <w:sz w:val="24"/>
          <w:szCs w:val="24"/>
        </w:rPr>
        <w:t xml:space="preserve">prireikus pratęsti pasiūlymų pateikimo terminą protingam laikotarpiui, per kurį potencialūs tiekėjai galėtų susipažinti su patikslintais ir pakeistais Pirkimo dokumentais. </w:t>
      </w:r>
      <w:r w:rsidRPr="00642EC0">
        <w:rPr>
          <w:rFonts w:eastAsia="Calibri" w:cstheme="minorHAnsi"/>
          <w:sz w:val="24"/>
          <w:szCs w:val="24"/>
        </w:rPr>
        <w:t>Pažymėtina, kad visais atvejais sprendimą dėl tolimesnio Pirkimo procedūrų vykdymo ar nutraukimo priima pati Perkančioji organizacija, vadovaudamasi Įstatymo 29 straipsnio 3</w:t>
      </w:r>
      <w:r w:rsidRPr="00642EC0">
        <w:rPr>
          <w:rFonts w:eastAsia="Calibri" w:cstheme="minorHAnsi"/>
          <w:sz w:val="24"/>
          <w:szCs w:val="24"/>
          <w:vertAlign w:val="superscript"/>
        </w:rPr>
        <w:footnoteReference w:id="7"/>
      </w:r>
      <w:r w:rsidRPr="00642EC0">
        <w:rPr>
          <w:rFonts w:eastAsia="Calibri" w:cstheme="minorHAnsi"/>
          <w:sz w:val="24"/>
          <w:szCs w:val="24"/>
        </w:rPr>
        <w:t xml:space="preserve"> ir 4</w:t>
      </w:r>
      <w:r w:rsidRPr="00642EC0">
        <w:rPr>
          <w:rFonts w:eastAsia="Calibri" w:cstheme="minorHAnsi"/>
          <w:sz w:val="24"/>
          <w:szCs w:val="24"/>
          <w:vertAlign w:val="superscript"/>
        </w:rPr>
        <w:footnoteReference w:id="8"/>
      </w:r>
      <w:r w:rsidRPr="00642EC0">
        <w:rPr>
          <w:rFonts w:eastAsia="Calibri" w:cstheme="minorHAnsi"/>
          <w:sz w:val="24"/>
          <w:szCs w:val="24"/>
        </w:rPr>
        <w:t xml:space="preserve"> dalių nuostatomis.</w:t>
      </w:r>
    </w:p>
    <w:sectPr w:rsidR="00A50E02" w:rsidRPr="00642EC0" w:rsidSect="00A50E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6C05" w14:textId="77777777" w:rsidR="00A50E02" w:rsidRDefault="00A50E02" w:rsidP="00A50E02">
      <w:pPr>
        <w:spacing w:after="0" w:line="240" w:lineRule="auto"/>
      </w:pPr>
      <w:r>
        <w:separator/>
      </w:r>
    </w:p>
  </w:endnote>
  <w:endnote w:type="continuationSeparator" w:id="0">
    <w:p w14:paraId="31981D6F" w14:textId="77777777" w:rsidR="00A50E02" w:rsidRDefault="00A50E02" w:rsidP="00A5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8079" w14:textId="77777777" w:rsidR="00A50E02" w:rsidRDefault="00A50E02" w:rsidP="00A50E02">
      <w:pPr>
        <w:spacing w:after="0" w:line="240" w:lineRule="auto"/>
      </w:pPr>
      <w:r>
        <w:separator/>
      </w:r>
    </w:p>
  </w:footnote>
  <w:footnote w:type="continuationSeparator" w:id="0">
    <w:p w14:paraId="1AA1EC72" w14:textId="77777777" w:rsidR="00A50E02" w:rsidRDefault="00A50E02" w:rsidP="00A50E02">
      <w:pPr>
        <w:spacing w:after="0" w:line="240" w:lineRule="auto"/>
      </w:pPr>
      <w:r>
        <w:continuationSeparator/>
      </w:r>
    </w:p>
  </w:footnote>
  <w:footnote w:id="1">
    <w:p w14:paraId="063945A4" w14:textId="77777777" w:rsidR="00A50E02" w:rsidRPr="007B2BAC" w:rsidRDefault="00A50E02" w:rsidP="00A50E02">
      <w:pPr>
        <w:pStyle w:val="FootnoteText"/>
        <w:spacing w:after="0" w:line="240" w:lineRule="auto"/>
        <w:jc w:val="both"/>
        <w:rPr>
          <w:rFonts w:cstheme="minorHAnsi"/>
          <w:strike/>
        </w:rPr>
      </w:pPr>
      <w:r w:rsidRPr="007B2BAC">
        <w:rPr>
          <w:rStyle w:val="FootnoteReference"/>
          <w:rFonts w:cstheme="minorHAnsi"/>
        </w:rPr>
        <w:footnoteRef/>
      </w:r>
      <w:r w:rsidRPr="007B2BAC">
        <w:rPr>
          <w:rFonts w:cstheme="minorHAnsi"/>
        </w:rPr>
        <w:t xml:space="preserve"> „Rimtu profesiniu pažeidimu laikoma aplinkybė, kad tiekėjas yra įtrauktas į </w:t>
      </w:r>
      <w:hyperlink r:id="rId1" w:history="1">
        <w:r w:rsidRPr="007B2BAC">
          <w:rPr>
            <w:rStyle w:val="Hyperlink"/>
            <w:rFonts w:cstheme="minorHAnsi"/>
            <w:b/>
            <w:bCs/>
          </w:rPr>
          <w:t>Nepatikimų maisto tvarkymo subjektų sąrašą</w:t>
        </w:r>
      </w:hyperlink>
      <w:r w:rsidRPr="007B2BAC">
        <w:rPr>
          <w:rFonts w:cstheme="minorHAnsi"/>
        </w:rPr>
        <w:t xml:space="preserve"> (skelbiamą Valstybinės maisto ir veterinarijos tarnybos interneto svetainėje)“.</w:t>
      </w:r>
    </w:p>
  </w:footnote>
  <w:footnote w:id="2">
    <w:p w14:paraId="5E3163BE" w14:textId="77777777" w:rsidR="00A50E02" w:rsidRPr="00A307BE" w:rsidRDefault="00A50E02" w:rsidP="00A50E02">
      <w:pPr>
        <w:pStyle w:val="FootnoteText"/>
        <w:spacing w:after="0" w:line="240" w:lineRule="auto"/>
        <w:rPr>
          <w:rFonts w:cstheme="minorHAnsi"/>
        </w:rPr>
      </w:pPr>
      <w:r w:rsidRPr="00A307BE">
        <w:rPr>
          <w:rStyle w:val="FootnoteReference"/>
          <w:rFonts w:cstheme="minorHAnsi"/>
        </w:rPr>
        <w:footnoteRef/>
      </w:r>
      <w:r w:rsidRPr="00A307BE">
        <w:rPr>
          <w:rFonts w:cstheme="minorHAnsi"/>
        </w:rPr>
        <w:t xml:space="preserve"> </w:t>
      </w:r>
      <w:r>
        <w:rPr>
          <w:rFonts w:cstheme="minorHAnsi"/>
        </w:rPr>
        <w:t>Ypatingieji statiniai:</w:t>
      </w:r>
    </w:p>
    <w:tbl>
      <w:tblPr>
        <w:tblW w:w="8438" w:type="dxa"/>
        <w:tblInd w:w="57" w:type="dxa"/>
        <w:tblCellMar>
          <w:left w:w="0" w:type="dxa"/>
          <w:right w:w="0" w:type="dxa"/>
        </w:tblCellMar>
        <w:tblLook w:val="04A0" w:firstRow="1" w:lastRow="0" w:firstColumn="1" w:lastColumn="0" w:noHBand="0" w:noVBand="1"/>
      </w:tblPr>
      <w:tblGrid>
        <w:gridCol w:w="646"/>
        <w:gridCol w:w="2593"/>
        <w:gridCol w:w="5199"/>
      </w:tblGrid>
      <w:tr w:rsidR="00A50E02" w:rsidRPr="00A307BE" w14:paraId="5E1DF994" w14:textId="77777777" w:rsidTr="00A307BE">
        <w:trPr>
          <w:trHeight w:val="62"/>
        </w:trPr>
        <w:tc>
          <w:tcPr>
            <w:tcW w:w="64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27CC4E96" w14:textId="77777777" w:rsidR="00A50E02" w:rsidRPr="00A307BE" w:rsidRDefault="00A50E02" w:rsidP="00A307BE">
            <w:pPr>
              <w:spacing w:after="0" w:line="240" w:lineRule="auto"/>
              <w:jc w:val="center"/>
              <w:rPr>
                <w:rFonts w:eastAsia="Times New Roman" w:cstheme="minorHAnsi"/>
                <w:sz w:val="20"/>
                <w:szCs w:val="20"/>
                <w:lang w:eastAsia="lt-LT"/>
              </w:rPr>
            </w:pPr>
            <w:r w:rsidRPr="00A307BE">
              <w:rPr>
                <w:rFonts w:eastAsia="Times New Roman" w:cstheme="minorHAnsi"/>
                <w:sz w:val="20"/>
                <w:szCs w:val="20"/>
                <w:lang w:eastAsia="lt-LT"/>
              </w:rPr>
              <w:t>5.</w:t>
            </w:r>
          </w:p>
        </w:tc>
        <w:tc>
          <w:tcPr>
            <w:tcW w:w="2593" w:type="dxa"/>
            <w:tcBorders>
              <w:top w:val="nil"/>
              <w:left w:val="nil"/>
              <w:bottom w:val="single" w:sz="8" w:space="0" w:color="000000"/>
              <w:right w:val="single" w:sz="8" w:space="0" w:color="000000"/>
            </w:tcBorders>
            <w:tcMar>
              <w:top w:w="57" w:type="dxa"/>
              <w:left w:w="57" w:type="dxa"/>
              <w:bottom w:w="57" w:type="dxa"/>
              <w:right w:w="57" w:type="dxa"/>
            </w:tcMar>
            <w:hideMark/>
          </w:tcPr>
          <w:p w14:paraId="63EF8CCF"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 </w:t>
            </w:r>
          </w:p>
          <w:p w14:paraId="77F9C381"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Keliai ir gatvės</w:t>
            </w:r>
          </w:p>
        </w:tc>
        <w:tc>
          <w:tcPr>
            <w:tcW w:w="5199" w:type="dxa"/>
            <w:tcBorders>
              <w:top w:val="nil"/>
              <w:left w:val="nil"/>
              <w:bottom w:val="single" w:sz="8" w:space="0" w:color="000000"/>
              <w:right w:val="single" w:sz="8" w:space="0" w:color="000000"/>
            </w:tcBorders>
            <w:tcMar>
              <w:top w:w="57" w:type="dxa"/>
              <w:left w:w="57" w:type="dxa"/>
              <w:bottom w:w="57" w:type="dxa"/>
              <w:right w:w="57" w:type="dxa"/>
            </w:tcMar>
            <w:hideMark/>
          </w:tcPr>
          <w:p w14:paraId="43CE11B1"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 </w:t>
            </w:r>
          </w:p>
          <w:p w14:paraId="53898772"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valstybinės reikšmės keliai ir A, B, C kategorijų gatvės</w:t>
            </w:r>
          </w:p>
        </w:tc>
      </w:tr>
    </w:tbl>
    <w:p w14:paraId="3EFC8273" w14:textId="77777777" w:rsidR="00A50E02" w:rsidRPr="00A307BE" w:rsidRDefault="00A50E02" w:rsidP="00A50E02">
      <w:pPr>
        <w:pStyle w:val="FootnoteText"/>
        <w:spacing w:after="0" w:line="240" w:lineRule="auto"/>
        <w:rPr>
          <w:rFonts w:cstheme="minorHAnsi"/>
        </w:rPr>
      </w:pPr>
    </w:p>
  </w:footnote>
  <w:footnote w:id="3">
    <w:p w14:paraId="78254DE4" w14:textId="77777777" w:rsidR="00A50E02" w:rsidRPr="00A307BE" w:rsidRDefault="00A50E02" w:rsidP="00A50E02">
      <w:pPr>
        <w:pStyle w:val="FootnoteText"/>
        <w:spacing w:after="0" w:line="240" w:lineRule="auto"/>
        <w:rPr>
          <w:rFonts w:cstheme="minorHAnsi"/>
        </w:rPr>
      </w:pPr>
      <w:r>
        <w:rPr>
          <w:rStyle w:val="FootnoteReference"/>
        </w:rPr>
        <w:footnoteRef/>
      </w:r>
      <w:r>
        <w:t xml:space="preserve"> </w:t>
      </w:r>
      <w:r>
        <w:t>Nesudėtingieji statiniai</w:t>
      </w:r>
    </w:p>
    <w:tbl>
      <w:tblPr>
        <w:tblW w:w="8221" w:type="dxa"/>
        <w:tblInd w:w="274" w:type="dxa"/>
        <w:tblLayout w:type="fixed"/>
        <w:tblCellMar>
          <w:left w:w="0" w:type="dxa"/>
          <w:right w:w="0" w:type="dxa"/>
        </w:tblCellMar>
        <w:tblLook w:val="04A0" w:firstRow="1" w:lastRow="0" w:firstColumn="1" w:lastColumn="0" w:noHBand="0" w:noVBand="1"/>
      </w:tblPr>
      <w:tblGrid>
        <w:gridCol w:w="646"/>
        <w:gridCol w:w="2461"/>
        <w:gridCol w:w="2396"/>
        <w:gridCol w:w="2283"/>
        <w:gridCol w:w="435"/>
      </w:tblGrid>
      <w:tr w:rsidR="00A50E02" w:rsidRPr="00A307BE" w14:paraId="4B763285" w14:textId="77777777" w:rsidTr="00A307BE">
        <w:trPr>
          <w:trHeight w:val="60"/>
        </w:trPr>
        <w:tc>
          <w:tcPr>
            <w:tcW w:w="8221" w:type="dxa"/>
            <w:gridSpan w:val="5"/>
            <w:tcBorders>
              <w:top w:val="nil"/>
              <w:left w:val="single" w:sz="8" w:space="0" w:color="000000"/>
              <w:bottom w:val="single" w:sz="8" w:space="0" w:color="000000"/>
              <w:right w:val="single" w:sz="8" w:space="0" w:color="000000"/>
            </w:tcBorders>
            <w:tcMar>
              <w:top w:w="28" w:type="dxa"/>
              <w:left w:w="108" w:type="dxa"/>
              <w:bottom w:w="28" w:type="dxa"/>
              <w:right w:w="108" w:type="dxa"/>
            </w:tcMar>
            <w:hideMark/>
          </w:tcPr>
          <w:p w14:paraId="4A2A150B"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1. Susisiekimo komunikacijos [3.6], [3.37]:</w:t>
            </w:r>
          </w:p>
        </w:tc>
      </w:tr>
      <w:tr w:rsidR="00A50E02" w:rsidRPr="00A307BE" w14:paraId="623C128D" w14:textId="77777777" w:rsidTr="00A307BE">
        <w:trPr>
          <w:trHeight w:val="60"/>
        </w:trPr>
        <w:tc>
          <w:tcPr>
            <w:tcW w:w="646" w:type="dxa"/>
            <w:tcBorders>
              <w:top w:val="nil"/>
              <w:left w:val="single" w:sz="8" w:space="0" w:color="000000"/>
              <w:bottom w:val="single" w:sz="8" w:space="0" w:color="000000"/>
              <w:right w:val="single" w:sz="8" w:space="0" w:color="000000"/>
            </w:tcBorders>
            <w:tcMar>
              <w:top w:w="28" w:type="dxa"/>
              <w:left w:w="108" w:type="dxa"/>
              <w:bottom w:w="28" w:type="dxa"/>
              <w:right w:w="108" w:type="dxa"/>
            </w:tcMar>
            <w:hideMark/>
          </w:tcPr>
          <w:p w14:paraId="107CE4E5"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1.1.</w:t>
            </w:r>
          </w:p>
          <w:p w14:paraId="2265F119"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 </w:t>
            </w:r>
          </w:p>
        </w:tc>
        <w:tc>
          <w:tcPr>
            <w:tcW w:w="2461" w:type="dxa"/>
            <w:tcBorders>
              <w:top w:val="nil"/>
              <w:left w:val="nil"/>
              <w:bottom w:val="single" w:sz="8" w:space="0" w:color="000000"/>
              <w:right w:val="single" w:sz="8" w:space="0" w:color="000000"/>
            </w:tcBorders>
            <w:tcMar>
              <w:top w:w="28" w:type="dxa"/>
              <w:left w:w="108" w:type="dxa"/>
              <w:bottom w:w="28" w:type="dxa"/>
              <w:right w:w="108" w:type="dxa"/>
            </w:tcMar>
            <w:hideMark/>
          </w:tcPr>
          <w:p w14:paraId="3BDEFFA2"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gatvės</w:t>
            </w:r>
          </w:p>
        </w:tc>
        <w:tc>
          <w:tcPr>
            <w:tcW w:w="2396" w:type="dxa"/>
            <w:tcBorders>
              <w:top w:val="nil"/>
              <w:left w:val="nil"/>
              <w:bottom w:val="single" w:sz="8" w:space="0" w:color="000000"/>
              <w:right w:val="single" w:sz="8" w:space="0" w:color="000000"/>
            </w:tcBorders>
            <w:tcMar>
              <w:top w:w="28" w:type="dxa"/>
              <w:left w:w="108" w:type="dxa"/>
              <w:bottom w:w="28" w:type="dxa"/>
              <w:right w:w="108" w:type="dxa"/>
            </w:tcMar>
            <w:hideMark/>
          </w:tcPr>
          <w:p w14:paraId="7501C27D" w14:textId="77777777" w:rsidR="00A50E02" w:rsidRPr="00A307BE" w:rsidRDefault="00A50E02" w:rsidP="00A307BE">
            <w:pPr>
              <w:spacing w:after="0" w:line="240" w:lineRule="auto"/>
              <w:textAlignment w:val="center"/>
              <w:rPr>
                <w:rFonts w:eastAsia="Times New Roman" w:cstheme="minorHAnsi"/>
                <w:sz w:val="20"/>
                <w:szCs w:val="20"/>
                <w:lang w:eastAsia="lt-LT"/>
              </w:rPr>
            </w:pPr>
            <w:r w:rsidRPr="00A307BE">
              <w:rPr>
                <w:rFonts w:eastAsia="Times New Roman" w:cstheme="minorHAnsi"/>
                <w:sz w:val="20"/>
                <w:szCs w:val="20"/>
                <w:lang w:eastAsia="lt-LT"/>
              </w:rPr>
              <w:t>E</w:t>
            </w:r>
            <w:r w:rsidRPr="00A307BE">
              <w:rPr>
                <w:rFonts w:eastAsia="Times New Roman" w:cstheme="minorHAnsi"/>
                <w:sz w:val="20"/>
                <w:szCs w:val="20"/>
                <w:vertAlign w:val="subscript"/>
                <w:lang w:eastAsia="lt-LT"/>
              </w:rPr>
              <w:t>1</w:t>
            </w:r>
            <w:r w:rsidRPr="00A307BE">
              <w:rPr>
                <w:rFonts w:eastAsia="Times New Roman" w:cstheme="minorHAnsi"/>
                <w:sz w:val="20"/>
                <w:szCs w:val="20"/>
                <w:lang w:eastAsia="lt-LT"/>
              </w:rPr>
              <w:t>, E</w:t>
            </w:r>
            <w:r w:rsidRPr="00A307BE">
              <w:rPr>
                <w:rFonts w:eastAsia="Times New Roman" w:cstheme="minorHAnsi"/>
                <w:sz w:val="20"/>
                <w:szCs w:val="20"/>
                <w:vertAlign w:val="subscript"/>
                <w:lang w:eastAsia="lt-LT"/>
              </w:rPr>
              <w:t>2</w:t>
            </w:r>
            <w:r w:rsidRPr="00A307BE">
              <w:rPr>
                <w:rFonts w:eastAsia="Times New Roman" w:cstheme="minorHAnsi"/>
                <w:sz w:val="20"/>
                <w:szCs w:val="20"/>
                <w:lang w:eastAsia="lt-LT"/>
              </w:rPr>
              <w:t>, F</w:t>
            </w:r>
            <w:r w:rsidRPr="00A307BE">
              <w:rPr>
                <w:rFonts w:eastAsia="Times New Roman" w:cstheme="minorHAnsi"/>
                <w:sz w:val="20"/>
                <w:szCs w:val="20"/>
                <w:vertAlign w:val="subscript"/>
                <w:lang w:eastAsia="lt-LT"/>
              </w:rPr>
              <w:t>1</w:t>
            </w:r>
            <w:r w:rsidRPr="00A307BE">
              <w:rPr>
                <w:rFonts w:eastAsia="Times New Roman" w:cstheme="minorHAnsi"/>
                <w:sz w:val="20"/>
                <w:szCs w:val="20"/>
                <w:lang w:eastAsia="lt-LT"/>
              </w:rPr>
              <w:t>, F</w:t>
            </w:r>
            <w:r w:rsidRPr="00A307BE">
              <w:rPr>
                <w:rFonts w:eastAsia="Times New Roman" w:cstheme="minorHAnsi"/>
                <w:sz w:val="20"/>
                <w:szCs w:val="20"/>
                <w:vertAlign w:val="subscript"/>
                <w:lang w:eastAsia="lt-LT"/>
              </w:rPr>
              <w:t>2</w:t>
            </w:r>
            <w:r w:rsidRPr="00A307BE">
              <w:rPr>
                <w:rFonts w:eastAsia="Times New Roman" w:cstheme="minorHAnsi"/>
                <w:sz w:val="20"/>
                <w:szCs w:val="20"/>
                <w:lang w:eastAsia="lt-LT"/>
              </w:rPr>
              <w:t> kategorijų gatvės</w:t>
            </w:r>
          </w:p>
        </w:tc>
        <w:tc>
          <w:tcPr>
            <w:tcW w:w="2283" w:type="dxa"/>
            <w:tcBorders>
              <w:top w:val="nil"/>
              <w:left w:val="nil"/>
              <w:bottom w:val="single" w:sz="8" w:space="0" w:color="000000"/>
              <w:right w:val="single" w:sz="8" w:space="0" w:color="000000"/>
            </w:tcBorders>
            <w:tcMar>
              <w:top w:w="28" w:type="dxa"/>
              <w:left w:w="108" w:type="dxa"/>
              <w:bottom w:w="28" w:type="dxa"/>
              <w:right w:w="108" w:type="dxa"/>
            </w:tcMar>
            <w:hideMark/>
          </w:tcPr>
          <w:p w14:paraId="5F8F310A" w14:textId="77777777" w:rsidR="00A50E02" w:rsidRPr="00A307BE" w:rsidRDefault="00A50E02" w:rsidP="00A307BE">
            <w:pPr>
              <w:spacing w:after="0" w:line="240" w:lineRule="auto"/>
              <w:textAlignment w:val="center"/>
              <w:rPr>
                <w:rFonts w:eastAsia="Times New Roman" w:cstheme="minorHAnsi"/>
                <w:sz w:val="20"/>
                <w:szCs w:val="20"/>
                <w:lang w:eastAsia="lt-LT"/>
              </w:rPr>
            </w:pPr>
            <w:r w:rsidRPr="00A307BE">
              <w:rPr>
                <w:rFonts w:eastAsia="Times New Roman" w:cstheme="minorHAnsi"/>
                <w:sz w:val="20"/>
                <w:szCs w:val="20"/>
                <w:lang w:eastAsia="lt-LT"/>
              </w:rPr>
              <w:t>D</w:t>
            </w:r>
            <w:r w:rsidRPr="00A307BE">
              <w:rPr>
                <w:rFonts w:eastAsia="Times New Roman" w:cstheme="minorHAnsi"/>
                <w:sz w:val="20"/>
                <w:szCs w:val="20"/>
                <w:vertAlign w:val="subscript"/>
                <w:lang w:eastAsia="lt-LT"/>
              </w:rPr>
              <w:t>2</w:t>
            </w:r>
            <w:r w:rsidRPr="00A307BE">
              <w:rPr>
                <w:rFonts w:eastAsia="Times New Roman" w:cstheme="minorHAnsi"/>
                <w:sz w:val="20"/>
                <w:szCs w:val="20"/>
                <w:lang w:eastAsia="lt-LT"/>
              </w:rPr>
              <w:t>, D</w:t>
            </w:r>
            <w:r w:rsidRPr="00A307BE">
              <w:rPr>
                <w:rFonts w:eastAsia="Times New Roman" w:cstheme="minorHAnsi"/>
                <w:sz w:val="20"/>
                <w:szCs w:val="20"/>
                <w:vertAlign w:val="subscript"/>
                <w:lang w:eastAsia="lt-LT"/>
              </w:rPr>
              <w:t>3</w:t>
            </w:r>
            <w:r w:rsidRPr="00A307BE">
              <w:rPr>
                <w:rFonts w:eastAsia="Times New Roman" w:cstheme="minorHAnsi"/>
                <w:sz w:val="20"/>
                <w:szCs w:val="20"/>
                <w:lang w:eastAsia="lt-LT"/>
              </w:rPr>
              <w:t> kategorijos gatvės</w:t>
            </w:r>
          </w:p>
        </w:tc>
        <w:tc>
          <w:tcPr>
            <w:tcW w:w="435" w:type="dxa"/>
            <w:tcBorders>
              <w:top w:val="nil"/>
              <w:left w:val="nil"/>
              <w:bottom w:val="single" w:sz="8" w:space="0" w:color="000000"/>
              <w:right w:val="single" w:sz="8" w:space="0" w:color="000000"/>
            </w:tcBorders>
            <w:tcMar>
              <w:top w:w="28" w:type="dxa"/>
              <w:left w:w="108" w:type="dxa"/>
              <w:bottom w:w="28" w:type="dxa"/>
              <w:right w:w="108" w:type="dxa"/>
            </w:tcMar>
            <w:hideMark/>
          </w:tcPr>
          <w:p w14:paraId="135941C0"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 </w:t>
            </w:r>
          </w:p>
        </w:tc>
      </w:tr>
      <w:tr w:rsidR="00A50E02" w:rsidRPr="00A307BE" w14:paraId="05988A2E" w14:textId="77777777" w:rsidTr="00A307BE">
        <w:trPr>
          <w:trHeight w:val="60"/>
        </w:trPr>
        <w:tc>
          <w:tcPr>
            <w:tcW w:w="646" w:type="dxa"/>
            <w:tcBorders>
              <w:top w:val="nil"/>
              <w:left w:val="single" w:sz="8" w:space="0" w:color="000000"/>
              <w:bottom w:val="single" w:sz="8" w:space="0" w:color="000000"/>
              <w:right w:val="single" w:sz="8" w:space="0" w:color="000000"/>
            </w:tcBorders>
            <w:tcMar>
              <w:top w:w="28" w:type="dxa"/>
              <w:left w:w="108" w:type="dxa"/>
              <w:bottom w:w="28" w:type="dxa"/>
              <w:right w:w="108" w:type="dxa"/>
            </w:tcMar>
            <w:hideMark/>
          </w:tcPr>
          <w:p w14:paraId="35A0A714"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1.2.</w:t>
            </w:r>
          </w:p>
          <w:p w14:paraId="6F368DC5"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 </w:t>
            </w:r>
          </w:p>
        </w:tc>
        <w:tc>
          <w:tcPr>
            <w:tcW w:w="2461" w:type="dxa"/>
            <w:tcBorders>
              <w:top w:val="nil"/>
              <w:left w:val="nil"/>
              <w:bottom w:val="single" w:sz="8" w:space="0" w:color="000000"/>
              <w:right w:val="single" w:sz="8" w:space="0" w:color="000000"/>
            </w:tcBorders>
            <w:tcMar>
              <w:top w:w="28" w:type="dxa"/>
              <w:left w:w="108" w:type="dxa"/>
              <w:bottom w:w="28" w:type="dxa"/>
              <w:right w:w="108" w:type="dxa"/>
            </w:tcMar>
            <w:hideMark/>
          </w:tcPr>
          <w:p w14:paraId="1AE9A0CD"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keliai</w:t>
            </w:r>
          </w:p>
        </w:tc>
        <w:tc>
          <w:tcPr>
            <w:tcW w:w="2396" w:type="dxa"/>
            <w:tcBorders>
              <w:top w:val="nil"/>
              <w:left w:val="nil"/>
              <w:bottom w:val="single" w:sz="8" w:space="0" w:color="000000"/>
              <w:right w:val="single" w:sz="8" w:space="0" w:color="000000"/>
            </w:tcBorders>
            <w:tcMar>
              <w:top w:w="28" w:type="dxa"/>
              <w:left w:w="108" w:type="dxa"/>
              <w:bottom w:w="28" w:type="dxa"/>
              <w:right w:w="108" w:type="dxa"/>
            </w:tcMar>
            <w:hideMark/>
          </w:tcPr>
          <w:p w14:paraId="0FCA910C" w14:textId="77777777" w:rsidR="00A50E02" w:rsidRPr="00A307BE" w:rsidRDefault="00A50E02" w:rsidP="00A307BE">
            <w:pPr>
              <w:spacing w:after="0" w:line="240" w:lineRule="auto"/>
              <w:textAlignment w:val="center"/>
              <w:rPr>
                <w:rFonts w:eastAsia="Times New Roman" w:cstheme="minorHAnsi"/>
                <w:sz w:val="20"/>
                <w:szCs w:val="20"/>
                <w:lang w:eastAsia="lt-LT"/>
              </w:rPr>
            </w:pPr>
            <w:proofErr w:type="spellStart"/>
            <w:r w:rsidRPr="00A307BE">
              <w:rPr>
                <w:rFonts w:eastAsia="Times New Roman" w:cstheme="minorHAnsi"/>
                <w:sz w:val="20"/>
                <w:szCs w:val="20"/>
                <w:lang w:eastAsia="lt-LT"/>
              </w:rPr>
              <w:t>IVv</w:t>
            </w:r>
            <w:proofErr w:type="spellEnd"/>
            <w:r w:rsidRPr="00A307BE">
              <w:rPr>
                <w:rFonts w:eastAsia="Times New Roman" w:cstheme="minorHAnsi"/>
                <w:sz w:val="20"/>
                <w:szCs w:val="20"/>
                <w:lang w:eastAsia="lt-LT"/>
              </w:rPr>
              <w:t xml:space="preserve"> kategorijų vietinės reikšmės keliai</w:t>
            </w:r>
          </w:p>
          <w:p w14:paraId="692B3227" w14:textId="77777777" w:rsidR="00A50E02" w:rsidRPr="00A307BE" w:rsidRDefault="00A50E02" w:rsidP="00A307BE">
            <w:pPr>
              <w:spacing w:after="0" w:line="240" w:lineRule="auto"/>
              <w:jc w:val="both"/>
              <w:textAlignment w:val="center"/>
              <w:rPr>
                <w:rFonts w:eastAsia="Times New Roman" w:cstheme="minorHAnsi"/>
                <w:sz w:val="20"/>
                <w:szCs w:val="20"/>
                <w:lang w:eastAsia="lt-LT"/>
              </w:rPr>
            </w:pPr>
            <w:r w:rsidRPr="00A307BE">
              <w:rPr>
                <w:rFonts w:eastAsia="Times New Roman" w:cstheme="minorHAnsi"/>
                <w:sz w:val="20"/>
                <w:szCs w:val="20"/>
                <w:lang w:eastAsia="lt-LT"/>
              </w:rPr>
              <w:t> </w:t>
            </w:r>
          </w:p>
        </w:tc>
        <w:tc>
          <w:tcPr>
            <w:tcW w:w="2283" w:type="dxa"/>
            <w:tcBorders>
              <w:top w:val="nil"/>
              <w:left w:val="nil"/>
              <w:bottom w:val="single" w:sz="8" w:space="0" w:color="000000"/>
              <w:right w:val="single" w:sz="8" w:space="0" w:color="000000"/>
            </w:tcBorders>
            <w:tcMar>
              <w:top w:w="28" w:type="dxa"/>
              <w:left w:w="108" w:type="dxa"/>
              <w:bottom w:w="28" w:type="dxa"/>
              <w:right w:w="108" w:type="dxa"/>
            </w:tcMar>
            <w:hideMark/>
          </w:tcPr>
          <w:p w14:paraId="392FF63C" w14:textId="77777777" w:rsidR="00A50E02" w:rsidRPr="00A307BE" w:rsidRDefault="00A50E02" w:rsidP="00A307BE">
            <w:pPr>
              <w:spacing w:after="0" w:line="240" w:lineRule="auto"/>
              <w:textAlignment w:val="center"/>
              <w:rPr>
                <w:rFonts w:eastAsia="Times New Roman" w:cstheme="minorHAnsi"/>
                <w:sz w:val="20"/>
                <w:szCs w:val="20"/>
                <w:lang w:eastAsia="lt-LT"/>
              </w:rPr>
            </w:pPr>
            <w:proofErr w:type="spellStart"/>
            <w:r w:rsidRPr="00A307BE">
              <w:rPr>
                <w:rFonts w:eastAsia="Times New Roman" w:cstheme="minorHAnsi"/>
                <w:sz w:val="20"/>
                <w:szCs w:val="20"/>
                <w:lang w:eastAsia="lt-LT"/>
              </w:rPr>
              <w:t>Iv</w:t>
            </w:r>
            <w:proofErr w:type="spellEnd"/>
            <w:r w:rsidRPr="00A307BE">
              <w:rPr>
                <w:rFonts w:eastAsia="Times New Roman" w:cstheme="minorHAnsi"/>
                <w:sz w:val="20"/>
                <w:szCs w:val="20"/>
                <w:lang w:eastAsia="lt-LT"/>
              </w:rPr>
              <w:t xml:space="preserve">, </w:t>
            </w:r>
            <w:proofErr w:type="spellStart"/>
            <w:r w:rsidRPr="00A307BE">
              <w:rPr>
                <w:rFonts w:eastAsia="Times New Roman" w:cstheme="minorHAnsi"/>
                <w:sz w:val="20"/>
                <w:szCs w:val="20"/>
                <w:lang w:eastAsia="lt-LT"/>
              </w:rPr>
              <w:t>IIv</w:t>
            </w:r>
            <w:proofErr w:type="spellEnd"/>
            <w:r w:rsidRPr="00A307BE">
              <w:rPr>
                <w:rFonts w:eastAsia="Times New Roman" w:cstheme="minorHAnsi"/>
                <w:sz w:val="20"/>
                <w:szCs w:val="20"/>
                <w:lang w:eastAsia="lt-LT"/>
              </w:rPr>
              <w:t xml:space="preserve"> ir </w:t>
            </w:r>
            <w:proofErr w:type="spellStart"/>
            <w:r w:rsidRPr="00A307BE">
              <w:rPr>
                <w:rFonts w:eastAsia="Times New Roman" w:cstheme="minorHAnsi"/>
                <w:sz w:val="20"/>
                <w:szCs w:val="20"/>
                <w:lang w:eastAsia="lt-LT"/>
              </w:rPr>
              <w:t>IIIv</w:t>
            </w:r>
            <w:proofErr w:type="spellEnd"/>
            <w:r w:rsidRPr="00A307BE">
              <w:rPr>
                <w:rFonts w:eastAsia="Times New Roman" w:cstheme="minorHAnsi"/>
                <w:sz w:val="20"/>
                <w:szCs w:val="20"/>
                <w:lang w:eastAsia="lt-LT"/>
              </w:rPr>
              <w:t xml:space="preserve"> kategorijos vietinės reikšmės keliai</w:t>
            </w:r>
          </w:p>
        </w:tc>
        <w:tc>
          <w:tcPr>
            <w:tcW w:w="435" w:type="dxa"/>
            <w:tcBorders>
              <w:top w:val="nil"/>
              <w:left w:val="nil"/>
              <w:bottom w:val="single" w:sz="8" w:space="0" w:color="000000"/>
              <w:right w:val="single" w:sz="8" w:space="0" w:color="000000"/>
            </w:tcBorders>
            <w:tcMar>
              <w:top w:w="28" w:type="dxa"/>
              <w:left w:w="108" w:type="dxa"/>
              <w:bottom w:w="28" w:type="dxa"/>
              <w:right w:w="108" w:type="dxa"/>
            </w:tcMar>
            <w:hideMark/>
          </w:tcPr>
          <w:p w14:paraId="00061D23" w14:textId="77777777" w:rsidR="00A50E02" w:rsidRPr="00A307BE" w:rsidRDefault="00A50E02" w:rsidP="00A307BE">
            <w:pPr>
              <w:spacing w:after="0" w:line="240" w:lineRule="auto"/>
              <w:rPr>
                <w:rFonts w:eastAsia="Times New Roman" w:cstheme="minorHAnsi"/>
                <w:sz w:val="20"/>
                <w:szCs w:val="20"/>
                <w:lang w:eastAsia="lt-LT"/>
              </w:rPr>
            </w:pPr>
            <w:r w:rsidRPr="00A307BE">
              <w:rPr>
                <w:rFonts w:eastAsia="Times New Roman" w:cstheme="minorHAnsi"/>
                <w:sz w:val="20"/>
                <w:szCs w:val="20"/>
                <w:lang w:eastAsia="lt-LT"/>
              </w:rPr>
              <w:t> </w:t>
            </w:r>
          </w:p>
        </w:tc>
      </w:tr>
    </w:tbl>
    <w:p w14:paraId="47F9BE9C" w14:textId="77777777" w:rsidR="00A50E02" w:rsidRDefault="00A50E02" w:rsidP="00A50E02">
      <w:pPr>
        <w:pStyle w:val="FootnoteText"/>
        <w:spacing w:after="0" w:line="240" w:lineRule="auto"/>
      </w:pPr>
    </w:p>
  </w:footnote>
  <w:footnote w:id="4">
    <w:p w14:paraId="53123B22" w14:textId="77777777" w:rsidR="00A50E02" w:rsidRDefault="00A50E02" w:rsidP="00A50E02">
      <w:pPr>
        <w:pStyle w:val="FootnoteText"/>
        <w:spacing w:after="0" w:line="240" w:lineRule="auto"/>
      </w:pPr>
      <w:r>
        <w:rPr>
          <w:rStyle w:val="FootnoteReference"/>
        </w:rPr>
        <w:footnoteRef/>
      </w:r>
      <w:r>
        <w:t xml:space="preserve"> </w:t>
      </w:r>
      <w:r>
        <w:t>„</w:t>
      </w:r>
      <w:r w:rsidRPr="001F3F60">
        <w:t xml:space="preserve">28. </w:t>
      </w:r>
      <w:r w:rsidRPr="001F3F60">
        <w:rPr>
          <w:b/>
          <w:bCs/>
        </w:rPr>
        <w:t xml:space="preserve">Neypatingasis statinys </w:t>
      </w:r>
      <w:r w:rsidRPr="001F3F60">
        <w:t>– statinys, nepriskiriamas prie ypatingųjų ir nesudėtingųjų statinių</w:t>
      </w:r>
      <w:r>
        <w:t>“</w:t>
      </w:r>
      <w:r w:rsidRPr="001F3F60">
        <w:t>.</w:t>
      </w:r>
    </w:p>
  </w:footnote>
  <w:footnote w:id="5">
    <w:p w14:paraId="7D737485" w14:textId="77777777" w:rsidR="00A50E02" w:rsidRDefault="00A50E02" w:rsidP="00A50E02">
      <w:pPr>
        <w:pStyle w:val="FootnoteText"/>
        <w:spacing w:after="0" w:line="240" w:lineRule="auto"/>
      </w:pPr>
      <w:r>
        <w:rPr>
          <w:rStyle w:val="FootnoteReference"/>
        </w:rPr>
        <w:footnoteRef/>
      </w:r>
      <w:r>
        <w:t xml:space="preserve"> </w:t>
      </w:r>
      <w:r>
        <w:t xml:space="preserve">„2.2. </w:t>
      </w:r>
      <w:r w:rsidRPr="00DC644E">
        <w:t>Kiekvienu atveju Tauragės rajono savivaldybės tarybai patvirtinus objektų sąrašus ir lėšas, ar gavus savivaldybės biudžeto ar kitą finansavimą, bus pasirašomi papildomi susitarimai prie šios Sutarties. Papildomame susitarime kiekvienu atveju bus nurodomas objektų sąrašas, konkreti šių darbų kaina, apskaičiuota pagal Sutartyje nurodytus fiksuotus įkainius ir konkreti Darbų atlikimo trukmė (Rangovas Darbų atlikimo laiką ir kiekius konkrečiame (-</w:t>
      </w:r>
      <w:proofErr w:type="spellStart"/>
      <w:r w:rsidRPr="00DC644E">
        <w:t>iuose</w:t>
      </w:r>
      <w:proofErr w:type="spellEnd"/>
      <w:r w:rsidRPr="00DC644E">
        <w:t>) objekte (-</w:t>
      </w:r>
      <w:proofErr w:type="spellStart"/>
      <w:r w:rsidRPr="00DC644E">
        <w:t>uose</w:t>
      </w:r>
      <w:proofErr w:type="spellEnd"/>
      <w:r w:rsidRPr="00DC644E">
        <w:t>) suderina su seniūnijų seniūnais</w:t>
      </w:r>
      <w:r w:rsidRPr="00CD30DA">
        <w:t>)“.</w:t>
      </w:r>
    </w:p>
  </w:footnote>
  <w:footnote w:id="6">
    <w:p w14:paraId="514A051B" w14:textId="77777777" w:rsidR="00A50E02" w:rsidRDefault="00A50E02" w:rsidP="00A50E02">
      <w:pPr>
        <w:pStyle w:val="FootnoteText"/>
        <w:spacing w:after="0" w:line="240" w:lineRule="auto"/>
      </w:pPr>
      <w:r>
        <w:rPr>
          <w:rStyle w:val="FootnoteReference"/>
        </w:rPr>
        <w:footnoteRef/>
      </w:r>
      <w:r>
        <w:t xml:space="preserve"> </w:t>
      </w:r>
      <w:r>
        <w:t>„</w:t>
      </w:r>
      <w:r>
        <w:rPr>
          <w:color w:val="000000"/>
        </w:rPr>
        <w:t>3. Komercinėje sutartyje tarp ūkio subjektų ir viešųjų subjektų nustatytas mokėjimo laikotarpis negali būti ilgesnis negu šio straipsnio 1 dalyje nustatyti laikotarpiai,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footnote>
  <w:footnote w:id="7">
    <w:p w14:paraId="1FB2C124" w14:textId="77777777" w:rsidR="00A50E02" w:rsidRPr="00642EC0" w:rsidRDefault="00A50E02" w:rsidP="00A50E02">
      <w:pPr>
        <w:pStyle w:val="FootnoteText"/>
        <w:spacing w:after="0" w:line="240" w:lineRule="auto"/>
        <w:jc w:val="both"/>
        <w:rPr>
          <w:rFonts w:cstheme="minorHAnsi"/>
        </w:rPr>
      </w:pPr>
      <w:r w:rsidRPr="00642EC0">
        <w:rPr>
          <w:rStyle w:val="FootnoteReference"/>
          <w:rFonts w:cstheme="minorHAnsi"/>
        </w:rPr>
        <w:footnoteRef/>
      </w:r>
      <w:r w:rsidRPr="00642EC0">
        <w:rPr>
          <w:rFonts w:cstheme="minorHAnsi"/>
        </w:rPr>
        <w:t xml:space="preserve"> </w:t>
      </w:r>
      <w:r w:rsidRPr="00642EC0">
        <w:rPr>
          <w:rFonts w:cstheme="minorHAnsi"/>
        </w:rPr>
        <w:t>„</w:t>
      </w:r>
      <w:r w:rsidRPr="00642EC0">
        <w:rPr>
          <w:rFonts w:cstheme="minorHAnsi"/>
          <w:bCs/>
          <w:color w:val="000000"/>
        </w:rPr>
        <w:t>Perkančioji</w:t>
      </w:r>
      <w:r w:rsidRPr="00642EC0">
        <w:rPr>
          <w:rFonts w:cstheme="minorHAnsi"/>
          <w:color w:val="000000"/>
        </w:rPr>
        <w:t xml:space="preserve"> organizacija privalo </w:t>
      </w:r>
      <w:r w:rsidRPr="00642EC0">
        <w:rPr>
          <w:rFonts w:cstheme="minorHAnsi"/>
          <w:bCs/>
          <w:color w:val="000000"/>
        </w:rPr>
        <w:t>nutraukti pradėtas pirkimo ar projekto konkurso procedūras</w:t>
      </w:r>
      <w:r w:rsidRPr="00642EC0">
        <w:rPr>
          <w:rFonts w:cstheme="minorHAnsi"/>
          <w:color w:val="000000"/>
        </w:rPr>
        <w:t>, jeigu buvo pažeisti šio įstatymo 17 straipsnio 1 dalyje nustatyti principai ir atitinkamos padėties negalima ištaisyti.“</w:t>
      </w:r>
    </w:p>
  </w:footnote>
  <w:footnote w:id="8">
    <w:p w14:paraId="27A83DDF" w14:textId="77777777" w:rsidR="00A50E02" w:rsidRPr="00642EC0" w:rsidRDefault="00A50E02" w:rsidP="00A50E02">
      <w:pPr>
        <w:pStyle w:val="FootnoteText"/>
        <w:spacing w:after="0" w:line="240" w:lineRule="auto"/>
        <w:jc w:val="both"/>
        <w:rPr>
          <w:rFonts w:cstheme="minorHAnsi"/>
        </w:rPr>
      </w:pPr>
      <w:r w:rsidRPr="00642EC0">
        <w:rPr>
          <w:rStyle w:val="FootnoteReference"/>
          <w:rFonts w:cstheme="minorHAnsi"/>
        </w:rPr>
        <w:footnoteRef/>
      </w:r>
      <w:r w:rsidRPr="00642EC0">
        <w:rPr>
          <w:rFonts w:cstheme="minorHAnsi"/>
        </w:rPr>
        <w:t xml:space="preserve">„ </w:t>
      </w:r>
      <w:r w:rsidRPr="00642EC0">
        <w:rPr>
          <w:rFonts w:cstheme="minorHAns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bC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D6243"/>
    <w:multiLevelType w:val="multilevel"/>
    <w:tmpl w:val="E398BA4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440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02"/>
    <w:rsid w:val="005F6BBB"/>
    <w:rsid w:val="00A50E02"/>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5B98"/>
  <w15:chartTrackingRefBased/>
  <w15:docId w15:val="{C21FAD11-FFA4-419D-AF27-A176A825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02"/>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A50E0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50E02"/>
    <w:rPr>
      <w:kern w:val="0"/>
      <w:lang w:val="lt-LT"/>
      <w14:ligatures w14:val="none"/>
    </w:rPr>
  </w:style>
  <w:style w:type="character" w:styleId="Hyperlink">
    <w:name w:val="Hyperlink"/>
    <w:aliases w:val="IVPK Hyperlink,Alna"/>
    <w:basedOn w:val="DefaultParagraphFont"/>
    <w:uiPriority w:val="99"/>
    <w:unhideWhenUsed/>
    <w:rsid w:val="00A50E02"/>
    <w:rPr>
      <w:strike w:val="0"/>
      <w:dstrike w:val="0"/>
      <w:color w:val="auto"/>
      <w:u w:val="none"/>
      <w:effect w:val="none"/>
    </w:rPr>
  </w:style>
  <w:style w:type="paragraph" w:styleId="FootnoteText">
    <w:name w:val="footnote text"/>
    <w:aliases w:val="Diagrama1, Diagrama1,Footnote,Footnote Text Char Char,Fußnotentextf,ColumnText,Išnaša,Footnote Text Char2,Footnote Text Char1 Char Char,Footnote Text Char Char Char Char,Footnote Text Char1 Char Char Char Char,fn,FT"/>
    <w:basedOn w:val="Normal"/>
    <w:link w:val="FootnoteTextChar"/>
    <w:uiPriority w:val="99"/>
    <w:unhideWhenUsed/>
    <w:qFormat/>
    <w:rsid w:val="00A50E02"/>
    <w:pPr>
      <w:spacing w:line="276" w:lineRule="auto"/>
    </w:pPr>
    <w:rPr>
      <w:rFonts w:eastAsiaTheme="minorEastAsia"/>
      <w:sz w:val="20"/>
      <w:szCs w:val="20"/>
      <w:lang w:eastAsia="lt-LT"/>
    </w:rPr>
  </w:style>
  <w:style w:type="character" w:customStyle="1" w:styleId="FootnoteTextChar">
    <w:name w:val="Footnote Text Char"/>
    <w:aliases w:val="Diagrama1 Char, Diagrama1 Char,Footnote Char,Footnote Text Char Char Char,Fußnotentextf Char,ColumnText Char,Išnaša Char,Footnote Text Char2 Char,Footnote Text Char1 Char Char Char,Footnote Text Char Char Char Char Char,fn Char"/>
    <w:basedOn w:val="DefaultParagraphFont"/>
    <w:link w:val="FootnoteText"/>
    <w:uiPriority w:val="99"/>
    <w:qFormat/>
    <w:rsid w:val="00A50E02"/>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A50E02"/>
    <w:rPr>
      <w:vertAlign w:val="superscript"/>
    </w:rPr>
  </w:style>
  <w:style w:type="character" w:customStyle="1" w:styleId="normaltextrun">
    <w:name w:val="normaltextrun"/>
    <w:basedOn w:val="DefaultParagraphFont"/>
    <w:rsid w:val="00A50E02"/>
  </w:style>
  <w:style w:type="paragraph" w:customStyle="1" w:styleId="paragraph">
    <w:name w:val="paragraph"/>
    <w:basedOn w:val="Normal"/>
    <w:rsid w:val="00A50E0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DefaultParagraphFont"/>
    <w:rsid w:val="00A5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vt.lt/maisto-sauga/maisto-sauga-ir-kokybe/nepatikimi-maisto-tvarkymo-subjektai?language=lt" TargetMode="External"/><Relationship Id="rId3" Type="http://schemas.openxmlformats.org/officeDocument/2006/relationships/settings" Target="settings.xml"/><Relationship Id="rId7" Type="http://schemas.openxmlformats.org/officeDocument/2006/relationships/hyperlink" Target="https://www.vmvt.lt/node/839?languag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imas.lrs.lt/portal/legalAct/lt/TAD/TAIS.224224/asr" TargetMode="External"/><Relationship Id="rId4" Type="http://schemas.openxmlformats.org/officeDocument/2006/relationships/webSettings" Target="webSettings.xml"/><Relationship Id="rId9" Type="http://schemas.openxmlformats.org/officeDocument/2006/relationships/hyperlink" Target="https://vpt.lrv.lt/lt/metodine-pagalba/pavyzdiniai-dokumentai-3/pasalinimo-pagrindu-lente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mvt.lt/maisto-sauga/maisto-sauga-ir-kokybe/nepatikimi-maisto-tvarkymo-subjektai?langu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6431</Words>
  <Characters>3667</Characters>
  <Application>Microsoft Office Word</Application>
  <DocSecurity>0</DocSecurity>
  <Lines>30</Lines>
  <Paragraphs>20</Paragraphs>
  <ScaleCrop>false</ScaleCrop>
  <Company>VPT</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2024-03-13T06:28:00Z</dcterms:created>
  <dcterms:modified xsi:type="dcterms:W3CDTF">2024-03-13T06:29:00Z</dcterms:modified>
</cp:coreProperties>
</file>