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6F29" w14:textId="77777777" w:rsidR="00D81D99" w:rsidRPr="003A142A" w:rsidRDefault="00D81D99" w:rsidP="00966296">
      <w:pPr>
        <w:spacing w:after="0" w:line="276" w:lineRule="auto"/>
        <w:rPr>
          <w:rFonts w:cstheme="minorHAnsi"/>
          <w:sz w:val="24"/>
          <w:szCs w:val="24"/>
        </w:rPr>
      </w:pPr>
      <w:r w:rsidRPr="003A142A">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6345329" w14:textId="54338F92" w:rsidR="00D81D99" w:rsidRPr="003A142A" w:rsidRDefault="00D81D99" w:rsidP="00966296">
      <w:pPr>
        <w:spacing w:after="0" w:line="276" w:lineRule="auto"/>
        <w:rPr>
          <w:rFonts w:cstheme="minorHAnsi"/>
          <w:sz w:val="24"/>
          <w:szCs w:val="24"/>
        </w:rPr>
      </w:pPr>
      <w:r w:rsidRPr="003A142A">
        <w:rPr>
          <w:rFonts w:eastAsia="Times New Roman" w:cstheme="minorHAnsi"/>
          <w:sz w:val="24"/>
          <w:szCs w:val="24"/>
          <w:lang w:val="lt"/>
        </w:rPr>
        <w:t xml:space="preserve">Vadovaujantis Tarnybai Įstatyme nustatyta pažeidimų prevencijos funkcija, šiuo metu atliekama </w:t>
      </w:r>
      <w:r w:rsidR="009744EB" w:rsidRPr="003A142A">
        <w:rPr>
          <w:rFonts w:cstheme="minorHAnsi"/>
          <w:b/>
          <w:bCs/>
          <w:spacing w:val="-2"/>
          <w:sz w:val="24"/>
          <w:szCs w:val="24"/>
        </w:rPr>
        <w:t xml:space="preserve">Infrastruktūros valdymo agentūros </w:t>
      </w:r>
      <w:r w:rsidR="005A46FB" w:rsidRPr="003A142A">
        <w:rPr>
          <w:rFonts w:cstheme="minorHAnsi"/>
          <w:b/>
          <w:bCs/>
          <w:spacing w:val="-2"/>
          <w:sz w:val="24"/>
          <w:szCs w:val="24"/>
        </w:rPr>
        <w:t xml:space="preserve"> </w:t>
      </w:r>
      <w:r w:rsidR="005A46FB" w:rsidRPr="003A142A">
        <w:rPr>
          <w:rFonts w:cstheme="minorHAnsi"/>
          <w:sz w:val="24"/>
          <w:szCs w:val="24"/>
          <w:lang w:eastAsia="lt-LT"/>
        </w:rPr>
        <w:t>(toliau – Perkančioji organizacija) vykdomo pirkimo Nr.</w:t>
      </w:r>
      <w:r w:rsidR="005A46FB" w:rsidRPr="003A142A">
        <w:rPr>
          <w:rFonts w:cstheme="minorHAnsi"/>
          <w:b/>
          <w:bCs/>
          <w:sz w:val="24"/>
          <w:szCs w:val="24"/>
          <w:lang w:eastAsia="lt-LT"/>
        </w:rPr>
        <w:t xml:space="preserve"> </w:t>
      </w:r>
      <w:r w:rsidR="009744EB" w:rsidRPr="003A142A">
        <w:rPr>
          <w:rFonts w:cstheme="minorHAnsi"/>
          <w:b/>
          <w:bCs/>
          <w:sz w:val="24"/>
          <w:szCs w:val="24"/>
          <w:lang w:eastAsia="lt-LT"/>
        </w:rPr>
        <w:t xml:space="preserve">709418 </w:t>
      </w:r>
      <w:r w:rsidR="005A46FB" w:rsidRPr="003A142A">
        <w:rPr>
          <w:rFonts w:cstheme="minorHAnsi"/>
          <w:b/>
          <w:bCs/>
          <w:sz w:val="24"/>
          <w:szCs w:val="24"/>
          <w:lang w:eastAsia="lt-LT"/>
        </w:rPr>
        <w:t>„</w:t>
      </w:r>
      <w:r w:rsidR="009744EB" w:rsidRPr="003A142A">
        <w:rPr>
          <w:rFonts w:cstheme="minorHAnsi"/>
          <w:b/>
          <w:bCs/>
          <w:sz w:val="24"/>
          <w:szCs w:val="24"/>
          <w:lang w:eastAsia="lt-LT"/>
        </w:rPr>
        <w:t>Mokymo pastato 15C2p rekonstravimas, keičiant paskirtį į specialiąją, Liepojos g. 5, Klaipėda projektavimo paslaugų ir rekonstravimo darbų pirkimas</w:t>
      </w:r>
      <w:r w:rsidR="005A46FB" w:rsidRPr="003A142A">
        <w:rPr>
          <w:rFonts w:cstheme="minorHAnsi"/>
          <w:b/>
          <w:bCs/>
          <w:sz w:val="24"/>
          <w:szCs w:val="24"/>
          <w:lang w:eastAsia="lt-LT"/>
        </w:rPr>
        <w:t>“</w:t>
      </w:r>
      <w:r w:rsidR="005A46FB" w:rsidRPr="003A142A">
        <w:rPr>
          <w:rFonts w:cstheme="minorHAnsi"/>
          <w:sz w:val="24"/>
          <w:szCs w:val="24"/>
          <w:lang w:eastAsia="lt-LT"/>
        </w:rPr>
        <w:t xml:space="preserve"> (toliau – Pirkimas) </w:t>
      </w:r>
      <w:r w:rsidRPr="003A142A">
        <w:rPr>
          <w:rFonts w:cstheme="minorHAnsi"/>
          <w:sz w:val="24"/>
          <w:szCs w:val="24"/>
        </w:rPr>
        <w:t>dokumentų atitikties Įstatymui ir jį įgyvendinantiems teisės aktams peržiūra (peržiūra prevenciniais tikslais atliekama tam tikra apimtimi).</w:t>
      </w:r>
    </w:p>
    <w:p w14:paraId="40670883" w14:textId="7AA360A0" w:rsidR="00D81D99" w:rsidRPr="003A142A" w:rsidRDefault="00D81D99" w:rsidP="00966296">
      <w:pPr>
        <w:spacing w:after="0" w:line="276" w:lineRule="auto"/>
        <w:rPr>
          <w:rFonts w:cstheme="minorHAnsi"/>
          <w:sz w:val="24"/>
          <w:szCs w:val="24"/>
          <w:lang w:eastAsia="lt-LT"/>
        </w:rPr>
      </w:pPr>
      <w:r w:rsidRPr="003A142A">
        <w:rPr>
          <w:rFonts w:cstheme="minorHAnsi"/>
          <w:sz w:val="24"/>
          <w:szCs w:val="24"/>
          <w:lang w:eastAsia="lt-LT"/>
        </w:rPr>
        <w:t>Tarnyba, prevencine tvarka peržiūrėjusi Pirkimo dokumentus ir atsižvelgdama į galiojantį teisinį reglamentavimą, teikia pastabas ir rekomendacijas (toliau – Rekomendacija) dėl Pirkimo dokumentų nuostatų.</w:t>
      </w:r>
    </w:p>
    <w:p w14:paraId="2252C191" w14:textId="77777777" w:rsidR="00634D2D" w:rsidRPr="003A142A" w:rsidRDefault="00634D2D" w:rsidP="00966296">
      <w:pPr>
        <w:spacing w:after="0" w:line="276" w:lineRule="auto"/>
        <w:rPr>
          <w:rFonts w:eastAsia="Times New Roman" w:cstheme="minorHAnsi"/>
          <w:b/>
          <w:bCs/>
          <w:sz w:val="24"/>
          <w:szCs w:val="24"/>
          <w:lang w:val="lt"/>
        </w:rPr>
      </w:pPr>
    </w:p>
    <w:p w14:paraId="4160D7C7" w14:textId="3D8027D7" w:rsidR="009744EB" w:rsidRPr="003A142A" w:rsidRDefault="009744EB" w:rsidP="00966296">
      <w:pPr>
        <w:pStyle w:val="Sraopastraipa"/>
        <w:numPr>
          <w:ilvl w:val="0"/>
          <w:numId w:val="4"/>
        </w:numPr>
        <w:tabs>
          <w:tab w:val="left" w:pos="567"/>
        </w:tabs>
        <w:spacing w:after="0" w:line="276" w:lineRule="auto"/>
        <w:ind w:left="0" w:firstLine="0"/>
        <w:rPr>
          <w:rFonts w:eastAsia="Times New Roman" w:cstheme="minorHAnsi"/>
          <w:b/>
          <w:bCs/>
          <w:sz w:val="24"/>
          <w:szCs w:val="24"/>
          <w:lang w:val="lt"/>
        </w:rPr>
      </w:pPr>
      <w:r w:rsidRPr="003A142A">
        <w:rPr>
          <w:rFonts w:eastAsia="Times New Roman" w:cstheme="minorHAnsi"/>
          <w:b/>
          <w:bCs/>
          <w:sz w:val="24"/>
          <w:szCs w:val="24"/>
          <w:lang w:val="lt"/>
        </w:rPr>
        <w:t>Dėl kvalifikacijos reikalavimų</w:t>
      </w:r>
    </w:p>
    <w:p w14:paraId="27B141EB" w14:textId="77777777" w:rsidR="009744EB" w:rsidRPr="003A142A" w:rsidRDefault="009744EB" w:rsidP="00966296">
      <w:pPr>
        <w:spacing w:after="0" w:line="276" w:lineRule="auto"/>
        <w:rPr>
          <w:rFonts w:eastAsia="Times New Roman" w:cstheme="minorHAnsi"/>
          <w:b/>
          <w:bCs/>
          <w:sz w:val="24"/>
          <w:szCs w:val="24"/>
          <w:lang w:val="lt"/>
        </w:rPr>
      </w:pPr>
    </w:p>
    <w:p w14:paraId="311D8A06" w14:textId="4893E81B" w:rsidR="008376E3" w:rsidRPr="003A142A" w:rsidRDefault="008376E3" w:rsidP="00966296">
      <w:pPr>
        <w:spacing w:after="0" w:line="276" w:lineRule="auto"/>
        <w:rPr>
          <w:rFonts w:eastAsia="Times New Roman" w:cstheme="minorHAnsi"/>
          <w:sz w:val="24"/>
          <w:szCs w:val="24"/>
        </w:rPr>
      </w:pPr>
      <w:r w:rsidRPr="003A142A">
        <w:rPr>
          <w:rFonts w:eastAsia="Times New Roman" w:cstheme="minorHAnsi"/>
          <w:sz w:val="24"/>
          <w:szCs w:val="24"/>
        </w:rPr>
        <w:t xml:space="preserve">Įstatymo 47 straipsnio 7 dalyje nustatyta, kad tiekėjo kvalifikacijos reikalavimai nustatomi pagal Tarnybos patvirtintą </w:t>
      </w:r>
      <w:r w:rsidR="003A142A">
        <w:rPr>
          <w:rFonts w:eastAsia="Times New Roman" w:cstheme="minorHAnsi"/>
          <w:sz w:val="24"/>
          <w:szCs w:val="24"/>
        </w:rPr>
        <w:t>T</w:t>
      </w:r>
      <w:r w:rsidRPr="003A142A">
        <w:rPr>
          <w:rFonts w:eastAsia="Times New Roman" w:cstheme="minorHAnsi"/>
          <w:sz w:val="24"/>
          <w:szCs w:val="24"/>
        </w:rPr>
        <w:t xml:space="preserve">iekėjo kvalifikacijos reikalavimų nustatymo metodiką (toliau – </w:t>
      </w:r>
      <w:hyperlink r:id="rId8" w:history="1">
        <w:r w:rsidRPr="003A142A">
          <w:rPr>
            <w:rStyle w:val="Hipersaitas"/>
            <w:rFonts w:eastAsia="Times New Roman" w:cstheme="minorHAnsi"/>
            <w:sz w:val="24"/>
            <w:szCs w:val="24"/>
          </w:rPr>
          <w:t>Metodika</w:t>
        </w:r>
      </w:hyperlink>
      <w:r w:rsidRPr="003A142A">
        <w:rPr>
          <w:rFonts w:eastAsia="Times New Roman" w:cstheme="minorHAnsi"/>
          <w:sz w:val="24"/>
          <w:szCs w:val="24"/>
        </w:rPr>
        <w:t xml:space="preserve">). Pažymėtina, jog Metodikos 7.1 papunktyje nustatyta, kad visiems pirkime dalyvaujantiems tiekėjams turi būti taikomi </w:t>
      </w:r>
      <w:r w:rsidRPr="003A142A">
        <w:rPr>
          <w:rFonts w:eastAsia="Times New Roman" w:cstheme="minorHAnsi"/>
          <w:b/>
          <w:bCs/>
          <w:sz w:val="24"/>
          <w:szCs w:val="24"/>
        </w:rPr>
        <w:t>vienodi, tikslūs, aiškūs, objektyviai patikrinami</w:t>
      </w:r>
      <w:r w:rsidRPr="003A142A">
        <w:rPr>
          <w:rFonts w:eastAsia="Times New Roman" w:cstheme="minorHAnsi"/>
          <w:sz w:val="24"/>
          <w:szCs w:val="24"/>
        </w:rPr>
        <w:t xml:space="preserve">, pirkimo dokumentuose nurodyti kvalifikacijos reikalavimai, 16 punkte </w:t>
      </w:r>
      <w:r w:rsidR="003A142A">
        <w:rPr>
          <w:rFonts w:eastAsia="Times New Roman" w:cstheme="minorHAnsi"/>
          <w:sz w:val="24"/>
          <w:szCs w:val="24"/>
        </w:rPr>
        <w:t>–</w:t>
      </w:r>
      <w:r w:rsidRPr="003A142A">
        <w:rPr>
          <w:rFonts w:eastAsia="Times New Roman" w:cstheme="minorHAnsi"/>
          <w:sz w:val="24"/>
          <w:szCs w:val="24"/>
        </w:rPr>
        <w:t xml:space="preserve"> nustatant, kas konkrečiu atveju laikoma panašiu pirkimo objektu, neleistina </w:t>
      </w:r>
      <w:r w:rsidRPr="003A142A">
        <w:rPr>
          <w:rFonts w:eastAsia="Times New Roman" w:cstheme="minorHAnsi"/>
          <w:b/>
          <w:bCs/>
          <w:sz w:val="24"/>
          <w:szCs w:val="24"/>
        </w:rPr>
        <w:t>pernelyg susiaurinti vertinamo dalyko</w:t>
      </w:r>
      <w:r w:rsidRPr="003A142A">
        <w:rPr>
          <w:rFonts w:eastAsia="Times New Roman" w:cstheme="minorHAnsi"/>
          <w:sz w:val="24"/>
          <w:szCs w:val="24"/>
        </w:rPr>
        <w:t xml:space="preserve">. </w:t>
      </w:r>
    </w:p>
    <w:p w14:paraId="0FD498DF" w14:textId="77777777" w:rsidR="008F3ED2" w:rsidRPr="003A142A" w:rsidRDefault="008F3ED2" w:rsidP="00966296">
      <w:pPr>
        <w:spacing w:after="0" w:line="276" w:lineRule="auto"/>
        <w:rPr>
          <w:rFonts w:eastAsia="Times New Roman" w:cstheme="minorHAnsi"/>
          <w:sz w:val="24"/>
          <w:szCs w:val="24"/>
        </w:rPr>
      </w:pPr>
    </w:p>
    <w:p w14:paraId="18057BDC" w14:textId="559C2F9E" w:rsidR="00EE3142" w:rsidRPr="003A142A" w:rsidRDefault="009744EB" w:rsidP="00966296">
      <w:pPr>
        <w:pStyle w:val="Sraopastraipa"/>
        <w:numPr>
          <w:ilvl w:val="1"/>
          <w:numId w:val="4"/>
        </w:numPr>
        <w:tabs>
          <w:tab w:val="left" w:pos="567"/>
        </w:tabs>
        <w:spacing w:after="0" w:line="276" w:lineRule="auto"/>
        <w:ind w:left="0" w:firstLine="0"/>
        <w:rPr>
          <w:rFonts w:eastAsia="Times New Roman" w:cstheme="minorHAnsi"/>
          <w:sz w:val="24"/>
          <w:szCs w:val="24"/>
        </w:rPr>
      </w:pPr>
      <w:r w:rsidRPr="003A142A">
        <w:rPr>
          <w:rFonts w:eastAsia="Times New Roman" w:cstheme="minorHAnsi"/>
          <w:sz w:val="24"/>
          <w:szCs w:val="24"/>
        </w:rPr>
        <w:t xml:space="preserve">Pirkimo sąlygų 6 priedo „Tiekėjų pašalinimo pagrindai, reikalaujami kvalifikacijos reikalavimai ir, jeigu taikytina, kokybės vadybos sistemos ir (arba) aplinkos apsaugos vadybos sistemos standartai“ (toliau – 6 priedas) lentelės </w:t>
      </w:r>
      <w:r w:rsidR="00EE3142" w:rsidRPr="003A142A">
        <w:rPr>
          <w:rFonts w:eastAsia="Times New Roman" w:cstheme="minorHAnsi"/>
          <w:sz w:val="24"/>
          <w:szCs w:val="24"/>
        </w:rPr>
        <w:t xml:space="preserve">„Kvalifikacijos reikalavimai“ 1 punkte nustatytas kvalifikacijos reikalavimas dėl tiekėjo patirties: „Tiekėjas &lt;...&gt; yra atlikęs bent vieno </w:t>
      </w:r>
      <w:r w:rsidR="00EE3142" w:rsidRPr="003A142A">
        <w:rPr>
          <w:rFonts w:eastAsia="Times New Roman" w:cstheme="minorHAnsi"/>
          <w:b/>
          <w:bCs/>
          <w:sz w:val="24"/>
          <w:szCs w:val="24"/>
        </w:rPr>
        <w:t>neypatingojo</w:t>
      </w:r>
      <w:r w:rsidR="00EE3142" w:rsidRPr="003A142A">
        <w:rPr>
          <w:rFonts w:eastAsia="Times New Roman" w:cstheme="minorHAnsi"/>
          <w:sz w:val="24"/>
          <w:szCs w:val="24"/>
        </w:rPr>
        <w:t xml:space="preserve"> statinio negyvenamosios ar gyvenamosios paskirties (kartu su statiniui priklausančiais </w:t>
      </w:r>
      <w:r w:rsidR="00EE3142" w:rsidRPr="003A142A">
        <w:rPr>
          <w:rFonts w:eastAsia="Times New Roman" w:cstheme="minorHAnsi"/>
          <w:b/>
          <w:bCs/>
          <w:sz w:val="24"/>
          <w:szCs w:val="24"/>
        </w:rPr>
        <w:t>panašiais</w:t>
      </w:r>
      <w:r w:rsidR="00EE3142" w:rsidRPr="003A142A">
        <w:rPr>
          <w:rFonts w:eastAsia="Times New Roman" w:cstheme="minorHAnsi"/>
          <w:sz w:val="24"/>
          <w:szCs w:val="24"/>
        </w:rPr>
        <w:t xml:space="preserve"> inžineriniais tinklais) naujos statybos, ar rekonstravimo darbus &lt;...&gt;“.</w:t>
      </w:r>
    </w:p>
    <w:p w14:paraId="42E398E2" w14:textId="45B16370" w:rsidR="009744EB" w:rsidRPr="003A142A" w:rsidRDefault="00EE3142" w:rsidP="00966296">
      <w:pPr>
        <w:tabs>
          <w:tab w:val="left" w:pos="567"/>
        </w:tabs>
        <w:spacing w:after="0" w:line="276" w:lineRule="auto"/>
        <w:rPr>
          <w:rFonts w:eastAsia="Times New Roman" w:cstheme="minorHAnsi"/>
          <w:sz w:val="24"/>
          <w:szCs w:val="24"/>
        </w:rPr>
      </w:pPr>
      <w:r w:rsidRPr="003A142A">
        <w:rPr>
          <w:rFonts w:eastAsia="Times New Roman" w:cstheme="minorHAnsi"/>
          <w:sz w:val="24"/>
          <w:szCs w:val="24"/>
        </w:rPr>
        <w:t xml:space="preserve">Atsižvelgiant į </w:t>
      </w:r>
      <w:r w:rsidR="008376E3" w:rsidRPr="003A142A">
        <w:rPr>
          <w:rFonts w:eastAsia="Times New Roman" w:cstheme="minorHAnsi"/>
          <w:sz w:val="24"/>
          <w:szCs w:val="24"/>
        </w:rPr>
        <w:t xml:space="preserve">Metodikos 16 punkto nuostatą, rekomenduotina </w:t>
      </w:r>
      <w:r w:rsidR="000E1B92" w:rsidRPr="003A142A">
        <w:rPr>
          <w:rFonts w:eastAsia="Times New Roman" w:cstheme="minorHAnsi"/>
          <w:sz w:val="24"/>
          <w:szCs w:val="24"/>
        </w:rPr>
        <w:t xml:space="preserve">nesusiaurinti vertinamo dalyko – </w:t>
      </w:r>
      <w:r w:rsidR="008376E3" w:rsidRPr="003A142A">
        <w:rPr>
          <w:rFonts w:eastAsia="Times New Roman" w:cstheme="minorHAnsi"/>
          <w:sz w:val="24"/>
          <w:szCs w:val="24"/>
        </w:rPr>
        <w:t xml:space="preserve">patirties reikalavime nurodyti ne tik neypatinguosius, bet </w:t>
      </w:r>
      <w:r w:rsidR="000E1B92" w:rsidRPr="003A142A">
        <w:rPr>
          <w:rFonts w:eastAsia="Times New Roman" w:cstheme="minorHAnsi"/>
          <w:sz w:val="24"/>
          <w:szCs w:val="24"/>
        </w:rPr>
        <w:t xml:space="preserve">ir </w:t>
      </w:r>
      <w:r w:rsidR="008376E3" w:rsidRPr="003A142A">
        <w:rPr>
          <w:rFonts w:eastAsia="Times New Roman" w:cstheme="minorHAnsi"/>
          <w:sz w:val="24"/>
          <w:szCs w:val="24"/>
        </w:rPr>
        <w:t>ypatinguosius statinius</w:t>
      </w:r>
      <w:r w:rsidR="000E1B92" w:rsidRPr="003A142A">
        <w:rPr>
          <w:rFonts w:eastAsia="Times New Roman" w:cstheme="minorHAnsi"/>
          <w:sz w:val="24"/>
          <w:szCs w:val="24"/>
        </w:rPr>
        <w:t xml:space="preserve">, taip pat atsižvelgiant į </w:t>
      </w:r>
      <w:r w:rsidRPr="003A142A">
        <w:rPr>
          <w:rFonts w:eastAsia="Times New Roman" w:cstheme="minorHAnsi"/>
          <w:sz w:val="24"/>
          <w:szCs w:val="24"/>
        </w:rPr>
        <w:t xml:space="preserve"> </w:t>
      </w:r>
      <w:r w:rsidR="000E1B92" w:rsidRPr="003A142A">
        <w:rPr>
          <w:rFonts w:eastAsia="Times New Roman" w:cstheme="minorHAnsi"/>
          <w:sz w:val="24"/>
          <w:szCs w:val="24"/>
        </w:rPr>
        <w:t>Metodikos 7.1 papunktyje nustatytą (tikslūs, aiškūs, objektyviai patikrinami</w:t>
      </w:r>
      <w:r w:rsidR="00AD0D88" w:rsidRPr="003A142A">
        <w:rPr>
          <w:rFonts w:eastAsia="Times New Roman" w:cstheme="minorHAnsi"/>
          <w:sz w:val="24"/>
          <w:szCs w:val="24"/>
        </w:rPr>
        <w:t xml:space="preserve"> kvalifikacijos reikalavimai</w:t>
      </w:r>
      <w:r w:rsidR="000E1B92" w:rsidRPr="003A142A">
        <w:rPr>
          <w:rFonts w:eastAsia="Times New Roman" w:cstheme="minorHAnsi"/>
          <w:sz w:val="24"/>
          <w:szCs w:val="24"/>
        </w:rPr>
        <w:t xml:space="preserve">), </w:t>
      </w:r>
      <w:r w:rsidR="003A142A">
        <w:rPr>
          <w:rFonts w:eastAsia="Times New Roman" w:cstheme="minorHAnsi"/>
          <w:sz w:val="24"/>
          <w:szCs w:val="24"/>
        </w:rPr>
        <w:t xml:space="preserve">rekomenduotina </w:t>
      </w:r>
      <w:r w:rsidR="000E1B92" w:rsidRPr="003A142A">
        <w:rPr>
          <w:rFonts w:eastAsia="Times New Roman" w:cstheme="minorHAnsi"/>
          <w:sz w:val="24"/>
          <w:szCs w:val="24"/>
        </w:rPr>
        <w:t xml:space="preserve">patikslinti, </w:t>
      </w:r>
      <w:r w:rsidR="000E1B92" w:rsidRPr="003A142A">
        <w:rPr>
          <w:rFonts w:eastAsia="Times New Roman" w:cstheme="minorHAnsi"/>
          <w:b/>
          <w:bCs/>
          <w:sz w:val="24"/>
          <w:szCs w:val="24"/>
        </w:rPr>
        <w:t>į ką panašūs</w:t>
      </w:r>
      <w:r w:rsidR="000E1B92" w:rsidRPr="003A142A">
        <w:rPr>
          <w:rFonts w:eastAsia="Times New Roman" w:cstheme="minorHAnsi"/>
          <w:sz w:val="24"/>
          <w:szCs w:val="24"/>
        </w:rPr>
        <w:t xml:space="preserve"> statiniui priklausantys inžineriniai tinklai bus vertinami kaip tinkami. </w:t>
      </w:r>
    </w:p>
    <w:p w14:paraId="4FE97863" w14:textId="77777777" w:rsidR="00AD0D88" w:rsidRPr="003A142A" w:rsidRDefault="00AD0D88" w:rsidP="00966296">
      <w:pPr>
        <w:tabs>
          <w:tab w:val="left" w:pos="567"/>
        </w:tabs>
        <w:spacing w:after="0" w:line="276" w:lineRule="auto"/>
        <w:rPr>
          <w:rFonts w:eastAsia="Times New Roman" w:cstheme="minorHAnsi"/>
          <w:sz w:val="24"/>
          <w:szCs w:val="24"/>
          <w:lang w:val="lt"/>
        </w:rPr>
      </w:pPr>
    </w:p>
    <w:p w14:paraId="367FBFF6" w14:textId="2BCAAEA3" w:rsidR="00AD0D88" w:rsidRPr="003A142A" w:rsidRDefault="00AD0D88" w:rsidP="00966296">
      <w:pPr>
        <w:pStyle w:val="Sraopastraipa"/>
        <w:numPr>
          <w:ilvl w:val="1"/>
          <w:numId w:val="4"/>
        </w:numPr>
        <w:tabs>
          <w:tab w:val="left" w:pos="567"/>
        </w:tabs>
        <w:spacing w:after="0" w:line="276" w:lineRule="auto"/>
        <w:ind w:left="0" w:firstLine="0"/>
        <w:rPr>
          <w:rFonts w:eastAsia="Times New Roman" w:cstheme="minorHAnsi"/>
          <w:sz w:val="24"/>
          <w:szCs w:val="24"/>
          <w:lang w:val="lt"/>
        </w:rPr>
      </w:pPr>
      <w:r w:rsidRPr="003A142A">
        <w:rPr>
          <w:rFonts w:eastAsia="Times New Roman" w:cstheme="minorHAnsi"/>
          <w:sz w:val="24"/>
          <w:szCs w:val="24"/>
          <w:lang w:val="lt"/>
        </w:rPr>
        <w:t xml:space="preserve">Po šiuo kvalifikacijos reikalavimu yra pateiktos dvi viena kitai prieštaraujančios pastabos, kaip bus vertinamos pateiktos sutartys: </w:t>
      </w:r>
    </w:p>
    <w:p w14:paraId="5B6962D0" w14:textId="2852122C" w:rsidR="009744EB" w:rsidRPr="003A142A" w:rsidRDefault="00AD0D88" w:rsidP="00966296">
      <w:pPr>
        <w:pStyle w:val="Sraopastraipa"/>
        <w:numPr>
          <w:ilvl w:val="0"/>
          <w:numId w:val="5"/>
        </w:numPr>
        <w:tabs>
          <w:tab w:val="left" w:pos="567"/>
        </w:tabs>
        <w:spacing w:after="0" w:line="276" w:lineRule="auto"/>
        <w:ind w:left="0" w:firstLine="0"/>
        <w:rPr>
          <w:rFonts w:eastAsia="Times New Roman" w:cstheme="minorHAnsi"/>
          <w:b/>
          <w:bCs/>
          <w:sz w:val="24"/>
          <w:szCs w:val="24"/>
          <w:lang w:val="lt"/>
        </w:rPr>
      </w:pPr>
      <w:r w:rsidRPr="003A142A">
        <w:rPr>
          <w:rFonts w:eastAsia="Times New Roman" w:cstheme="minorHAnsi"/>
          <w:sz w:val="24"/>
          <w:szCs w:val="24"/>
        </w:rPr>
        <w:t xml:space="preserve">„Vertinama </w:t>
      </w:r>
      <w:r w:rsidRPr="003A142A">
        <w:rPr>
          <w:rFonts w:eastAsia="Times New Roman" w:cstheme="minorHAnsi"/>
          <w:b/>
          <w:bCs/>
          <w:sz w:val="24"/>
          <w:szCs w:val="24"/>
        </w:rPr>
        <w:t>ne visa sutartis</w:t>
      </w:r>
      <w:r w:rsidRPr="003A142A">
        <w:rPr>
          <w:rFonts w:eastAsia="Times New Roman" w:cstheme="minorHAnsi"/>
          <w:sz w:val="24"/>
          <w:szCs w:val="24"/>
        </w:rPr>
        <w:t xml:space="preserve">, tačiau </w:t>
      </w:r>
      <w:r w:rsidRPr="003A142A">
        <w:rPr>
          <w:rFonts w:eastAsia="Times New Roman" w:cstheme="minorHAnsi"/>
          <w:b/>
          <w:bCs/>
          <w:sz w:val="24"/>
          <w:szCs w:val="24"/>
        </w:rPr>
        <w:t>kiek toje sutartyje atliktų reikalavime nurodytų darbų buvo atlikta</w:t>
      </w:r>
      <w:r w:rsidRPr="003A142A">
        <w:rPr>
          <w:rFonts w:eastAsia="Times New Roman" w:cstheme="minorHAnsi"/>
          <w:sz w:val="24"/>
          <w:szCs w:val="24"/>
        </w:rPr>
        <w:t xml:space="preserve"> ir galutiniai rezultatai buvo tinkami. &lt;...&gt;“.</w:t>
      </w:r>
    </w:p>
    <w:p w14:paraId="34464036" w14:textId="11BACFA8" w:rsidR="009744EB" w:rsidRPr="003A142A" w:rsidRDefault="00AE1E9F" w:rsidP="00966296">
      <w:pPr>
        <w:pStyle w:val="Sraopastraipa"/>
        <w:numPr>
          <w:ilvl w:val="0"/>
          <w:numId w:val="5"/>
        </w:numPr>
        <w:tabs>
          <w:tab w:val="left" w:pos="567"/>
        </w:tabs>
        <w:spacing w:after="0" w:line="276" w:lineRule="auto"/>
        <w:ind w:left="0" w:firstLine="0"/>
        <w:rPr>
          <w:rFonts w:eastAsia="Times New Roman" w:cstheme="minorHAnsi"/>
          <w:sz w:val="24"/>
          <w:szCs w:val="24"/>
          <w:lang w:val="lt"/>
        </w:rPr>
      </w:pPr>
      <w:r w:rsidRPr="003A142A">
        <w:rPr>
          <w:rFonts w:eastAsia="Times New Roman" w:cstheme="minorHAnsi"/>
          <w:sz w:val="24"/>
          <w:szCs w:val="24"/>
          <w:lang w:val="lt"/>
        </w:rPr>
        <w:lastRenderedPageBreak/>
        <w:t xml:space="preserve">„Jeigu sutartis pradėta vykdyti anksčiau nei per paskutinius 5 metus, tačiau pabaigta vykdyti per paskutinius 5 metus, tokiu atveju </w:t>
      </w:r>
      <w:r w:rsidRPr="003A142A">
        <w:rPr>
          <w:rFonts w:eastAsia="Times New Roman" w:cstheme="minorHAnsi"/>
          <w:b/>
          <w:bCs/>
          <w:sz w:val="24"/>
          <w:szCs w:val="24"/>
          <w:lang w:val="lt"/>
        </w:rPr>
        <w:t>atsižvelgiama į visą sutarties vertę</w:t>
      </w:r>
      <w:r w:rsidRPr="003A142A">
        <w:rPr>
          <w:rFonts w:eastAsia="Times New Roman" w:cstheme="minorHAnsi"/>
          <w:sz w:val="24"/>
          <w:szCs w:val="24"/>
          <w:lang w:val="lt"/>
        </w:rPr>
        <w:t>“.</w:t>
      </w:r>
    </w:p>
    <w:p w14:paraId="348F36B2" w14:textId="0EFEFBF4" w:rsidR="009744EB" w:rsidRPr="003A142A" w:rsidRDefault="00E27907" w:rsidP="001E0BCB">
      <w:pPr>
        <w:spacing w:after="0" w:line="276" w:lineRule="auto"/>
        <w:rPr>
          <w:rFonts w:eastAsia="Times New Roman" w:cstheme="minorHAnsi"/>
          <w:sz w:val="24"/>
          <w:szCs w:val="24"/>
          <w:lang w:val="lt"/>
        </w:rPr>
      </w:pPr>
      <w:r w:rsidRPr="003A142A">
        <w:rPr>
          <w:rFonts w:eastAsia="Times New Roman" w:cstheme="minorHAnsi"/>
          <w:sz w:val="24"/>
          <w:szCs w:val="24"/>
          <w:lang w:val="lt"/>
        </w:rPr>
        <w:t>Kyla klausimas,</w:t>
      </w:r>
      <w:r w:rsidR="00AE1E9F" w:rsidRPr="003A142A">
        <w:rPr>
          <w:rFonts w:eastAsia="Times New Roman" w:cstheme="minorHAnsi"/>
          <w:sz w:val="24"/>
          <w:szCs w:val="24"/>
          <w:lang w:val="lt"/>
        </w:rPr>
        <w:t xml:space="preserve"> kodėl </w:t>
      </w:r>
      <w:r w:rsidR="003A142A">
        <w:rPr>
          <w:rFonts w:eastAsia="Times New Roman" w:cstheme="minorHAnsi"/>
          <w:sz w:val="24"/>
          <w:szCs w:val="24"/>
          <w:lang w:val="lt"/>
        </w:rPr>
        <w:t>tiekėjo patirties</w:t>
      </w:r>
      <w:r w:rsidR="008F3ED2" w:rsidRPr="003A142A">
        <w:rPr>
          <w:rFonts w:eastAsia="Times New Roman" w:cstheme="minorHAnsi"/>
          <w:sz w:val="24"/>
          <w:szCs w:val="24"/>
          <w:lang w:val="lt"/>
        </w:rPr>
        <w:t xml:space="preserve"> vertinimas </w:t>
      </w:r>
      <w:r w:rsidR="001C761C" w:rsidRPr="003A142A">
        <w:rPr>
          <w:rFonts w:eastAsia="Times New Roman" w:cstheme="minorHAnsi"/>
          <w:sz w:val="24"/>
          <w:szCs w:val="24"/>
          <w:lang w:val="lt"/>
        </w:rPr>
        <w:t>priklauso</w:t>
      </w:r>
      <w:r w:rsidR="00AE1E9F" w:rsidRPr="003A142A">
        <w:rPr>
          <w:rFonts w:eastAsia="Times New Roman" w:cstheme="minorHAnsi"/>
          <w:sz w:val="24"/>
          <w:szCs w:val="24"/>
          <w:lang w:val="lt"/>
        </w:rPr>
        <w:t xml:space="preserve"> </w:t>
      </w:r>
      <w:r w:rsidR="001C761C" w:rsidRPr="003A142A">
        <w:rPr>
          <w:rFonts w:eastAsia="Times New Roman" w:cstheme="minorHAnsi"/>
          <w:sz w:val="24"/>
          <w:szCs w:val="24"/>
          <w:lang w:val="lt"/>
        </w:rPr>
        <w:t>nuo į</w:t>
      </w:r>
      <w:r w:rsidR="00AE1E9F" w:rsidRPr="003A142A">
        <w:rPr>
          <w:rFonts w:eastAsia="Times New Roman" w:cstheme="minorHAnsi"/>
          <w:sz w:val="24"/>
          <w:szCs w:val="24"/>
          <w:lang w:val="lt"/>
        </w:rPr>
        <w:t>vykdytos sutarties pradžios ir pabaigos termin</w:t>
      </w:r>
      <w:r w:rsidR="001C761C" w:rsidRPr="003A142A">
        <w:rPr>
          <w:rFonts w:eastAsia="Times New Roman" w:cstheme="minorHAnsi"/>
          <w:sz w:val="24"/>
          <w:szCs w:val="24"/>
          <w:lang w:val="lt"/>
        </w:rPr>
        <w:t>ų</w:t>
      </w:r>
      <w:r w:rsidR="00AE1E9F" w:rsidRPr="003A142A">
        <w:rPr>
          <w:rFonts w:eastAsia="Times New Roman" w:cstheme="minorHAnsi"/>
          <w:sz w:val="24"/>
          <w:szCs w:val="24"/>
          <w:lang w:val="lt"/>
        </w:rPr>
        <w:t xml:space="preserve">? Jei </w:t>
      </w:r>
      <w:r w:rsidR="001C761C" w:rsidRPr="003A142A">
        <w:rPr>
          <w:rFonts w:eastAsia="Times New Roman" w:cstheme="minorHAnsi"/>
          <w:sz w:val="24"/>
          <w:szCs w:val="24"/>
          <w:lang w:val="lt"/>
        </w:rPr>
        <w:t xml:space="preserve">tiekėjo pateiktoje </w:t>
      </w:r>
      <w:r w:rsidR="00AE1E9F" w:rsidRPr="003A142A">
        <w:rPr>
          <w:rFonts w:eastAsia="Times New Roman" w:cstheme="minorHAnsi"/>
          <w:sz w:val="24"/>
          <w:szCs w:val="24"/>
          <w:lang w:val="lt"/>
        </w:rPr>
        <w:t xml:space="preserve">sutartyje </w:t>
      </w:r>
      <w:r w:rsidR="001C761C" w:rsidRPr="003A142A">
        <w:rPr>
          <w:rFonts w:eastAsia="Times New Roman" w:cstheme="minorHAnsi"/>
          <w:sz w:val="24"/>
          <w:szCs w:val="24"/>
          <w:lang w:val="lt"/>
        </w:rPr>
        <w:t xml:space="preserve">(pradėtoje vykdyti prieš 5 metus ir baigtoje per paskutinius 5 metus) </w:t>
      </w:r>
      <w:r w:rsidR="00AE1E9F" w:rsidRPr="003A142A">
        <w:rPr>
          <w:rFonts w:eastAsia="Times New Roman" w:cstheme="minorHAnsi"/>
          <w:sz w:val="24"/>
          <w:szCs w:val="24"/>
          <w:lang w:val="lt"/>
        </w:rPr>
        <w:t>b</w:t>
      </w:r>
      <w:r w:rsidR="008F3ED2" w:rsidRPr="003A142A">
        <w:rPr>
          <w:rFonts w:eastAsia="Times New Roman" w:cstheme="minorHAnsi"/>
          <w:sz w:val="24"/>
          <w:szCs w:val="24"/>
          <w:lang w:val="lt"/>
        </w:rPr>
        <w:t>ūtų</w:t>
      </w:r>
      <w:r w:rsidR="00AE1E9F" w:rsidRPr="003A142A">
        <w:rPr>
          <w:rFonts w:eastAsia="Times New Roman" w:cstheme="minorHAnsi"/>
          <w:sz w:val="24"/>
          <w:szCs w:val="24"/>
          <w:lang w:val="lt"/>
        </w:rPr>
        <w:t xml:space="preserve"> atlikti ne tik pastato </w:t>
      </w:r>
      <w:r w:rsidR="008F3ED2" w:rsidRPr="003A142A">
        <w:rPr>
          <w:rFonts w:eastAsia="Times New Roman" w:cstheme="minorHAnsi"/>
          <w:sz w:val="24"/>
          <w:szCs w:val="24"/>
          <w:lang w:val="lt"/>
        </w:rPr>
        <w:t>(</w:t>
      </w:r>
      <w:r w:rsidR="00AE1E9F" w:rsidRPr="003A142A">
        <w:rPr>
          <w:rFonts w:eastAsia="Times New Roman" w:cstheme="minorHAnsi"/>
          <w:sz w:val="24"/>
          <w:szCs w:val="24"/>
        </w:rPr>
        <w:t xml:space="preserve">kartu su </w:t>
      </w:r>
      <w:r w:rsidR="008F3ED2" w:rsidRPr="003A142A">
        <w:rPr>
          <w:rFonts w:eastAsia="Times New Roman" w:cstheme="minorHAnsi"/>
          <w:sz w:val="24"/>
          <w:szCs w:val="24"/>
        </w:rPr>
        <w:t>jam</w:t>
      </w:r>
      <w:r w:rsidR="00AE1E9F" w:rsidRPr="003A142A">
        <w:rPr>
          <w:rFonts w:eastAsia="Times New Roman" w:cstheme="minorHAnsi"/>
          <w:sz w:val="24"/>
          <w:szCs w:val="24"/>
        </w:rPr>
        <w:t xml:space="preserve"> priklausančiais inžineriniais tinklais</w:t>
      </w:r>
      <w:r w:rsidR="008F3ED2" w:rsidRPr="003A142A">
        <w:rPr>
          <w:rFonts w:eastAsia="Times New Roman" w:cstheme="minorHAnsi"/>
          <w:sz w:val="24"/>
          <w:szCs w:val="24"/>
        </w:rPr>
        <w:t>)</w:t>
      </w:r>
      <w:r w:rsidR="00AE1E9F" w:rsidRPr="003A142A">
        <w:rPr>
          <w:rFonts w:eastAsia="Times New Roman" w:cstheme="minorHAnsi"/>
          <w:sz w:val="24"/>
          <w:szCs w:val="24"/>
          <w:lang w:val="lt"/>
        </w:rPr>
        <w:t xml:space="preserve"> statybos darbai,</w:t>
      </w:r>
      <w:r w:rsidR="008F3ED2" w:rsidRPr="003A142A">
        <w:rPr>
          <w:rFonts w:eastAsia="Times New Roman" w:cstheme="minorHAnsi"/>
          <w:sz w:val="24"/>
          <w:szCs w:val="24"/>
          <w:lang w:val="lt"/>
        </w:rPr>
        <w:t xml:space="preserve"> </w:t>
      </w:r>
      <w:r w:rsidR="001C761C" w:rsidRPr="003A142A">
        <w:rPr>
          <w:rFonts w:eastAsia="Times New Roman" w:cstheme="minorHAnsi"/>
          <w:sz w:val="24"/>
          <w:szCs w:val="24"/>
          <w:lang w:val="lt"/>
        </w:rPr>
        <w:t xml:space="preserve">bet ir kitų inžinerinių statinių statybos darbai, kodėl tokio tiekėjo patirties vertinimas </w:t>
      </w:r>
      <w:r w:rsidRPr="003A142A">
        <w:rPr>
          <w:rFonts w:eastAsia="Times New Roman" w:cstheme="minorHAnsi"/>
          <w:sz w:val="24"/>
          <w:szCs w:val="24"/>
          <w:lang w:val="lt"/>
        </w:rPr>
        <w:t xml:space="preserve">(vertinama visa sutarties vertė) </w:t>
      </w:r>
      <w:r w:rsidR="001C761C" w:rsidRPr="003A142A">
        <w:rPr>
          <w:rFonts w:eastAsia="Times New Roman" w:cstheme="minorHAnsi"/>
          <w:sz w:val="24"/>
          <w:szCs w:val="24"/>
          <w:lang w:val="lt"/>
        </w:rPr>
        <w:t xml:space="preserve">skiriasi nuo tiekėjo, kuris sutartį </w:t>
      </w:r>
      <w:r w:rsidR="00373A33" w:rsidRPr="003A142A">
        <w:rPr>
          <w:rFonts w:eastAsia="Times New Roman" w:cstheme="minorHAnsi"/>
          <w:sz w:val="24"/>
          <w:szCs w:val="24"/>
          <w:lang w:val="lt"/>
        </w:rPr>
        <w:t xml:space="preserve">pradėjo vykdyti ir </w:t>
      </w:r>
      <w:r w:rsidR="001C761C" w:rsidRPr="003A142A">
        <w:rPr>
          <w:rFonts w:eastAsia="Times New Roman" w:cstheme="minorHAnsi"/>
          <w:sz w:val="24"/>
          <w:szCs w:val="24"/>
          <w:lang w:val="lt"/>
        </w:rPr>
        <w:t>įvykdė</w:t>
      </w:r>
      <w:r w:rsidR="00373A33" w:rsidRPr="003A142A">
        <w:rPr>
          <w:rFonts w:eastAsia="Times New Roman" w:cstheme="minorHAnsi"/>
          <w:sz w:val="24"/>
          <w:szCs w:val="24"/>
          <w:lang w:val="lt"/>
        </w:rPr>
        <w:t xml:space="preserve"> per paskutinius 5 metus, patirties vertinimo</w:t>
      </w:r>
      <w:r w:rsidRPr="003A142A">
        <w:rPr>
          <w:rFonts w:eastAsia="Times New Roman" w:cstheme="minorHAnsi"/>
          <w:sz w:val="24"/>
          <w:szCs w:val="24"/>
          <w:lang w:val="lt"/>
        </w:rPr>
        <w:t xml:space="preserve"> (vertinami tik kvalifikacijos reikalavime nurodyti atlikti darbai)?</w:t>
      </w:r>
      <w:r w:rsidR="00373A33" w:rsidRPr="003A142A">
        <w:rPr>
          <w:rFonts w:eastAsia="Times New Roman" w:cstheme="minorHAnsi"/>
          <w:sz w:val="24"/>
          <w:szCs w:val="24"/>
          <w:lang w:val="lt"/>
        </w:rPr>
        <w:t xml:space="preserve"> Tarnybos nuomone, šiuo atveju </w:t>
      </w:r>
      <w:r w:rsidR="00BF1B69">
        <w:rPr>
          <w:rFonts w:eastAsia="Times New Roman" w:cstheme="minorHAnsi"/>
          <w:sz w:val="24"/>
          <w:szCs w:val="24"/>
          <w:lang w:val="lt"/>
        </w:rPr>
        <w:t xml:space="preserve">nėra užtikrinimas </w:t>
      </w:r>
      <w:r w:rsidR="00373A33" w:rsidRPr="003A142A">
        <w:rPr>
          <w:rFonts w:eastAsia="Times New Roman" w:cstheme="minorHAnsi"/>
          <w:sz w:val="24"/>
          <w:szCs w:val="24"/>
          <w:lang w:val="lt"/>
        </w:rPr>
        <w:t>Įstatymo 17 st</w:t>
      </w:r>
      <w:r w:rsidRPr="003A142A">
        <w:rPr>
          <w:rFonts w:eastAsia="Times New Roman" w:cstheme="minorHAnsi"/>
          <w:sz w:val="24"/>
          <w:szCs w:val="24"/>
          <w:lang w:val="lt"/>
        </w:rPr>
        <w:t>ra</w:t>
      </w:r>
      <w:r w:rsidR="00373A33" w:rsidRPr="003A142A">
        <w:rPr>
          <w:rFonts w:eastAsia="Times New Roman" w:cstheme="minorHAnsi"/>
          <w:sz w:val="24"/>
          <w:szCs w:val="24"/>
          <w:lang w:val="lt"/>
        </w:rPr>
        <w:t>ipsn</w:t>
      </w:r>
      <w:r w:rsidRPr="003A142A">
        <w:rPr>
          <w:rFonts w:eastAsia="Times New Roman" w:cstheme="minorHAnsi"/>
          <w:sz w:val="24"/>
          <w:szCs w:val="24"/>
          <w:lang w:val="lt"/>
        </w:rPr>
        <w:t xml:space="preserve">io 1 dalyje </w:t>
      </w:r>
      <w:r w:rsidR="00404CA8" w:rsidRPr="003A142A">
        <w:rPr>
          <w:rFonts w:eastAsia="Times New Roman" w:cstheme="minorHAnsi"/>
          <w:sz w:val="24"/>
          <w:szCs w:val="24"/>
          <w:lang w:val="lt"/>
        </w:rPr>
        <w:t>nustatyt</w:t>
      </w:r>
      <w:r w:rsidR="00404CA8">
        <w:rPr>
          <w:rFonts w:eastAsia="Times New Roman" w:cstheme="minorHAnsi"/>
          <w:sz w:val="24"/>
          <w:szCs w:val="24"/>
          <w:lang w:val="lt"/>
        </w:rPr>
        <w:t>o</w:t>
      </w:r>
      <w:r w:rsidR="00404CA8" w:rsidRPr="003A142A">
        <w:rPr>
          <w:rFonts w:eastAsia="Times New Roman" w:cstheme="minorHAnsi"/>
          <w:sz w:val="24"/>
          <w:szCs w:val="24"/>
          <w:lang w:val="lt"/>
        </w:rPr>
        <w:t xml:space="preserve"> </w:t>
      </w:r>
      <w:r w:rsidRPr="003A142A">
        <w:rPr>
          <w:rFonts w:eastAsia="Times New Roman" w:cstheme="minorHAnsi"/>
          <w:sz w:val="24"/>
          <w:szCs w:val="24"/>
          <w:lang w:val="lt"/>
        </w:rPr>
        <w:t>lygiateisiškumo princip</w:t>
      </w:r>
      <w:r w:rsidR="00BF1B69">
        <w:rPr>
          <w:rFonts w:eastAsia="Times New Roman" w:cstheme="minorHAnsi"/>
          <w:sz w:val="24"/>
          <w:szCs w:val="24"/>
          <w:lang w:val="lt"/>
        </w:rPr>
        <w:t xml:space="preserve">o </w:t>
      </w:r>
      <w:r w:rsidR="000F4B37">
        <w:rPr>
          <w:rFonts w:eastAsia="Times New Roman" w:cstheme="minorHAnsi"/>
          <w:sz w:val="24"/>
          <w:szCs w:val="24"/>
          <w:lang w:val="lt"/>
        </w:rPr>
        <w:t>laikym</w:t>
      </w:r>
      <w:r w:rsidR="000F4B37">
        <w:rPr>
          <w:rFonts w:eastAsia="Times New Roman" w:cstheme="minorHAnsi"/>
          <w:sz w:val="24"/>
          <w:szCs w:val="24"/>
          <w:lang w:val="lt"/>
        </w:rPr>
        <w:t>a</w:t>
      </w:r>
      <w:r w:rsidR="000F4B37">
        <w:rPr>
          <w:rFonts w:eastAsia="Times New Roman" w:cstheme="minorHAnsi"/>
          <w:sz w:val="24"/>
          <w:szCs w:val="24"/>
          <w:lang w:val="lt"/>
        </w:rPr>
        <w:t>sis</w:t>
      </w:r>
      <w:r w:rsidRPr="003A142A">
        <w:rPr>
          <w:rFonts w:eastAsia="Times New Roman" w:cstheme="minorHAnsi"/>
          <w:sz w:val="24"/>
          <w:szCs w:val="24"/>
          <w:lang w:val="lt"/>
        </w:rPr>
        <w:t>, todėl rekomenduotina tikslinti 2) nurodytą pastabą, atsisakant skirtingo tiekėjo patirties vertinimo.</w:t>
      </w:r>
    </w:p>
    <w:p w14:paraId="168D8DB8" w14:textId="77777777" w:rsidR="0003158C" w:rsidRPr="003A142A" w:rsidRDefault="0003158C" w:rsidP="00966296">
      <w:pPr>
        <w:spacing w:after="0" w:line="276" w:lineRule="auto"/>
        <w:rPr>
          <w:rFonts w:eastAsia="Times New Roman" w:cstheme="minorHAnsi"/>
          <w:sz w:val="24"/>
          <w:szCs w:val="24"/>
          <w:lang w:val="lt"/>
        </w:rPr>
      </w:pPr>
    </w:p>
    <w:p w14:paraId="5D694D63" w14:textId="016FEE14" w:rsidR="00FF79C7" w:rsidRPr="003A142A" w:rsidRDefault="0003158C" w:rsidP="004A5E7C">
      <w:pPr>
        <w:pStyle w:val="Sraopastraipa"/>
        <w:numPr>
          <w:ilvl w:val="1"/>
          <w:numId w:val="4"/>
        </w:numPr>
        <w:tabs>
          <w:tab w:val="left" w:pos="567"/>
        </w:tabs>
        <w:spacing w:after="0" w:line="276" w:lineRule="auto"/>
        <w:ind w:left="0" w:firstLine="0"/>
        <w:rPr>
          <w:rFonts w:eastAsia="Times New Roman" w:cstheme="minorHAnsi"/>
          <w:sz w:val="24"/>
          <w:szCs w:val="24"/>
          <w:lang w:val="lt"/>
        </w:rPr>
      </w:pPr>
      <w:r w:rsidRPr="003A142A">
        <w:rPr>
          <w:rFonts w:eastAsia="Times New Roman" w:cstheme="minorHAnsi"/>
          <w:sz w:val="24"/>
          <w:szCs w:val="24"/>
          <w:lang w:val="lt"/>
        </w:rPr>
        <w:t xml:space="preserve"> 6 priedo </w:t>
      </w:r>
      <w:r w:rsidRPr="0003158C">
        <w:rPr>
          <w:rFonts w:eastAsia="Times New Roman" w:cstheme="minorHAnsi"/>
          <w:sz w:val="24"/>
          <w:szCs w:val="24"/>
        </w:rPr>
        <w:t>lentelės „Kvalifikacijos reikalavimai“</w:t>
      </w:r>
      <w:r w:rsidRPr="003A142A">
        <w:rPr>
          <w:rFonts w:eastAsia="Times New Roman" w:cstheme="minorHAnsi"/>
          <w:sz w:val="24"/>
          <w:szCs w:val="24"/>
        </w:rPr>
        <w:t xml:space="preserve"> 2 punkto skiltyje „Atitiktį pagrindžiantys dokumentai“ prie užsienio šalių specialistų </w:t>
      </w:r>
      <w:r w:rsidR="00292963" w:rsidRPr="003A142A">
        <w:rPr>
          <w:rFonts w:eastAsia="Times New Roman" w:cstheme="minorHAnsi"/>
          <w:sz w:val="24"/>
          <w:szCs w:val="24"/>
        </w:rPr>
        <w:t>pateikiamų dokumentų</w:t>
      </w:r>
      <w:r w:rsidRPr="003A142A">
        <w:rPr>
          <w:rFonts w:eastAsia="Times New Roman" w:cstheme="minorHAnsi"/>
          <w:sz w:val="24"/>
          <w:szCs w:val="24"/>
        </w:rPr>
        <w:t xml:space="preserve"> rekomenduotina patikslinti </w:t>
      </w:r>
      <w:r w:rsidR="00C0223E">
        <w:rPr>
          <w:rFonts w:eastAsia="Times New Roman" w:cstheme="minorHAnsi"/>
          <w:sz w:val="24"/>
          <w:szCs w:val="24"/>
        </w:rPr>
        <w:t>šią dalį</w:t>
      </w:r>
      <w:r w:rsidRPr="003A142A">
        <w:rPr>
          <w:rFonts w:eastAsia="Times New Roman" w:cstheme="minorHAnsi"/>
          <w:sz w:val="24"/>
          <w:szCs w:val="24"/>
        </w:rPr>
        <w:t xml:space="preserve"> „turi teisę eiti </w:t>
      </w:r>
      <w:r w:rsidRPr="003A142A">
        <w:rPr>
          <w:rFonts w:eastAsia="Times New Roman" w:cstheme="minorHAnsi"/>
          <w:b/>
          <w:bCs/>
          <w:sz w:val="24"/>
          <w:szCs w:val="24"/>
        </w:rPr>
        <w:t>ypatingojo</w:t>
      </w:r>
      <w:r w:rsidRPr="003A142A">
        <w:rPr>
          <w:rFonts w:eastAsia="Times New Roman" w:cstheme="minorHAnsi"/>
          <w:sz w:val="24"/>
          <w:szCs w:val="24"/>
        </w:rPr>
        <w:t xml:space="preserve"> statinio projekto vadovo, </w:t>
      </w:r>
      <w:r w:rsidRPr="003A142A">
        <w:rPr>
          <w:rFonts w:eastAsia="Times New Roman" w:cstheme="minorHAnsi"/>
          <w:b/>
          <w:bCs/>
          <w:sz w:val="24"/>
          <w:szCs w:val="24"/>
        </w:rPr>
        <w:t xml:space="preserve">ypatingo </w:t>
      </w:r>
      <w:bookmarkStart w:id="0" w:name="_Hlk159492462"/>
      <w:r w:rsidRPr="003A142A">
        <w:rPr>
          <w:rFonts w:eastAsia="Times New Roman" w:cstheme="minorHAnsi"/>
          <w:b/>
          <w:bCs/>
          <w:sz w:val="24"/>
          <w:szCs w:val="24"/>
        </w:rPr>
        <w:t>statinio projekto vykdymo priežiūros vadovo</w:t>
      </w:r>
      <w:bookmarkEnd w:id="0"/>
      <w:r w:rsidRPr="003A142A">
        <w:rPr>
          <w:rFonts w:eastAsia="Times New Roman" w:cstheme="minorHAnsi"/>
          <w:b/>
          <w:bCs/>
          <w:sz w:val="24"/>
          <w:szCs w:val="24"/>
        </w:rPr>
        <w:t>, ypatingojo</w:t>
      </w:r>
      <w:r w:rsidRPr="003A142A">
        <w:rPr>
          <w:rFonts w:eastAsia="Times New Roman" w:cstheme="minorHAnsi"/>
          <w:sz w:val="24"/>
          <w:szCs w:val="24"/>
        </w:rPr>
        <w:t xml:space="preserve"> statinio statybos vadovo, </w:t>
      </w:r>
      <w:r w:rsidRPr="003A142A">
        <w:rPr>
          <w:rFonts w:eastAsia="Times New Roman" w:cstheme="minorHAnsi"/>
          <w:b/>
          <w:bCs/>
          <w:sz w:val="24"/>
          <w:szCs w:val="24"/>
        </w:rPr>
        <w:t>ypatingojo</w:t>
      </w:r>
      <w:r w:rsidRPr="003A142A">
        <w:rPr>
          <w:rFonts w:eastAsia="Times New Roman" w:cstheme="minorHAnsi"/>
          <w:sz w:val="24"/>
          <w:szCs w:val="24"/>
        </w:rPr>
        <w:t xml:space="preserve"> statinio specialiųjų statybos darbų vadovo“</w:t>
      </w:r>
      <w:r w:rsidR="00292963" w:rsidRPr="003A142A">
        <w:rPr>
          <w:rFonts w:eastAsia="Times New Roman" w:cstheme="minorHAnsi"/>
          <w:sz w:val="24"/>
          <w:szCs w:val="24"/>
        </w:rPr>
        <w:t xml:space="preserve">, </w:t>
      </w:r>
      <w:r w:rsidRPr="003A142A">
        <w:rPr>
          <w:rFonts w:eastAsia="Times New Roman" w:cstheme="minorHAnsi"/>
          <w:sz w:val="24"/>
          <w:szCs w:val="24"/>
        </w:rPr>
        <w:t xml:space="preserve">atsižvelgiant į pačiame kvalifikacijos reikalavime nurodytą statinio kategoriją – </w:t>
      </w:r>
      <w:r w:rsidRPr="003A142A">
        <w:rPr>
          <w:rFonts w:eastAsia="Times New Roman" w:cstheme="minorHAnsi"/>
          <w:b/>
          <w:bCs/>
          <w:sz w:val="24"/>
          <w:szCs w:val="24"/>
        </w:rPr>
        <w:t>neypating</w:t>
      </w:r>
      <w:r w:rsidR="00292963" w:rsidRPr="003A142A">
        <w:rPr>
          <w:rFonts w:eastAsia="Times New Roman" w:cstheme="minorHAnsi"/>
          <w:b/>
          <w:bCs/>
          <w:sz w:val="24"/>
          <w:szCs w:val="24"/>
        </w:rPr>
        <w:t>asis</w:t>
      </w:r>
      <w:r w:rsidRPr="003A142A">
        <w:rPr>
          <w:rFonts w:eastAsia="Times New Roman" w:cstheme="minorHAnsi"/>
          <w:sz w:val="24"/>
          <w:szCs w:val="24"/>
        </w:rPr>
        <w:t xml:space="preserve"> statin</w:t>
      </w:r>
      <w:r w:rsidR="00292963" w:rsidRPr="003A142A">
        <w:rPr>
          <w:rFonts w:eastAsia="Times New Roman" w:cstheme="minorHAnsi"/>
          <w:sz w:val="24"/>
          <w:szCs w:val="24"/>
        </w:rPr>
        <w:t>ys</w:t>
      </w:r>
      <w:r w:rsidRPr="003A142A">
        <w:rPr>
          <w:rFonts w:eastAsia="Times New Roman" w:cstheme="minorHAnsi"/>
          <w:sz w:val="24"/>
          <w:szCs w:val="24"/>
        </w:rPr>
        <w:t xml:space="preserve">, taip pat </w:t>
      </w:r>
      <w:r w:rsidR="00C0223E">
        <w:rPr>
          <w:rFonts w:eastAsia="Times New Roman" w:cstheme="minorHAnsi"/>
          <w:sz w:val="24"/>
          <w:szCs w:val="24"/>
        </w:rPr>
        <w:t>nurodyti</w:t>
      </w:r>
      <w:r w:rsidR="00C0223E" w:rsidRPr="003A142A">
        <w:rPr>
          <w:rFonts w:eastAsia="Times New Roman" w:cstheme="minorHAnsi"/>
          <w:sz w:val="24"/>
          <w:szCs w:val="24"/>
        </w:rPr>
        <w:t xml:space="preserve"> </w:t>
      </w:r>
      <w:r w:rsidRPr="003A142A">
        <w:rPr>
          <w:rFonts w:eastAsia="Times New Roman" w:cstheme="minorHAnsi"/>
          <w:sz w:val="24"/>
          <w:szCs w:val="24"/>
        </w:rPr>
        <w:t xml:space="preserve">tik tokius vadovus, kuriems </w:t>
      </w:r>
      <w:r w:rsidR="00C0223E">
        <w:rPr>
          <w:rFonts w:eastAsia="Times New Roman" w:cstheme="minorHAnsi"/>
          <w:sz w:val="24"/>
          <w:szCs w:val="24"/>
        </w:rPr>
        <w:t xml:space="preserve">yra </w:t>
      </w:r>
      <w:r w:rsidR="00E51F64">
        <w:rPr>
          <w:rFonts w:eastAsia="Times New Roman" w:cstheme="minorHAnsi"/>
          <w:sz w:val="24"/>
          <w:szCs w:val="24"/>
        </w:rPr>
        <w:t>nustatytas</w:t>
      </w:r>
      <w:r w:rsidR="00C0223E" w:rsidRPr="003A142A">
        <w:rPr>
          <w:rFonts w:eastAsia="Times New Roman" w:cstheme="minorHAnsi"/>
          <w:sz w:val="24"/>
          <w:szCs w:val="24"/>
        </w:rPr>
        <w:t xml:space="preserve"> </w:t>
      </w:r>
      <w:r w:rsidRPr="003A142A">
        <w:rPr>
          <w:rFonts w:eastAsia="Times New Roman" w:cstheme="minorHAnsi"/>
          <w:sz w:val="24"/>
          <w:szCs w:val="24"/>
        </w:rPr>
        <w:t xml:space="preserve">konkretus </w:t>
      </w:r>
      <w:r w:rsidR="00292963" w:rsidRPr="003A142A">
        <w:rPr>
          <w:rFonts w:eastAsia="Times New Roman" w:cstheme="minorHAnsi"/>
          <w:sz w:val="24"/>
          <w:szCs w:val="24"/>
        </w:rPr>
        <w:t xml:space="preserve">kvalifikacijos </w:t>
      </w:r>
      <w:r w:rsidRPr="003A142A">
        <w:rPr>
          <w:rFonts w:eastAsia="Times New Roman" w:cstheme="minorHAnsi"/>
          <w:sz w:val="24"/>
          <w:szCs w:val="24"/>
        </w:rPr>
        <w:t xml:space="preserve">reikalavimas (pavyzdžiui, </w:t>
      </w:r>
      <w:r w:rsidR="00292963" w:rsidRPr="003A142A">
        <w:rPr>
          <w:rFonts w:eastAsia="Times New Roman" w:cstheme="minorHAnsi"/>
          <w:sz w:val="24"/>
          <w:szCs w:val="24"/>
        </w:rPr>
        <w:t xml:space="preserve">nėra </w:t>
      </w:r>
      <w:r w:rsidR="005A0925">
        <w:rPr>
          <w:rFonts w:eastAsia="Times New Roman" w:cstheme="minorHAnsi"/>
          <w:sz w:val="24"/>
          <w:szCs w:val="24"/>
        </w:rPr>
        <w:t>nustatyto reikalavimo</w:t>
      </w:r>
      <w:r w:rsidR="00C0223E">
        <w:rPr>
          <w:rFonts w:eastAsia="Times New Roman" w:cstheme="minorHAnsi"/>
          <w:sz w:val="24"/>
          <w:szCs w:val="24"/>
        </w:rPr>
        <w:t xml:space="preserve"> </w:t>
      </w:r>
      <w:r w:rsidR="00292963" w:rsidRPr="003A142A">
        <w:rPr>
          <w:rFonts w:eastAsia="Times New Roman" w:cstheme="minorHAnsi"/>
          <w:sz w:val="24"/>
          <w:szCs w:val="24"/>
        </w:rPr>
        <w:t xml:space="preserve">turėti </w:t>
      </w:r>
      <w:r w:rsidRPr="003A142A">
        <w:rPr>
          <w:rFonts w:eastAsia="Times New Roman" w:cstheme="minorHAnsi"/>
          <w:sz w:val="24"/>
          <w:szCs w:val="24"/>
        </w:rPr>
        <w:t>statinio projekto vykdymo priežiūros vadov</w:t>
      </w:r>
      <w:r w:rsidR="00C0223E">
        <w:rPr>
          <w:rFonts w:eastAsia="Times New Roman" w:cstheme="minorHAnsi"/>
          <w:sz w:val="24"/>
          <w:szCs w:val="24"/>
        </w:rPr>
        <w:t>ą</w:t>
      </w:r>
      <w:r w:rsidR="00292963" w:rsidRPr="003A142A">
        <w:rPr>
          <w:rFonts w:eastAsia="Times New Roman" w:cstheme="minorHAnsi"/>
          <w:sz w:val="24"/>
          <w:szCs w:val="24"/>
        </w:rPr>
        <w:t xml:space="preserve">, tačiau yra </w:t>
      </w:r>
      <w:r w:rsidRPr="003A142A">
        <w:rPr>
          <w:rFonts w:eastAsia="Times New Roman" w:cstheme="minorHAnsi"/>
          <w:sz w:val="24"/>
          <w:szCs w:val="24"/>
        </w:rPr>
        <w:t>nustatyt</w:t>
      </w:r>
      <w:r w:rsidR="00292963" w:rsidRPr="003A142A">
        <w:rPr>
          <w:rFonts w:eastAsia="Times New Roman" w:cstheme="minorHAnsi"/>
          <w:sz w:val="24"/>
          <w:szCs w:val="24"/>
        </w:rPr>
        <w:t>as</w:t>
      </w:r>
      <w:r w:rsidRPr="003A142A">
        <w:rPr>
          <w:rFonts w:eastAsia="Times New Roman" w:cstheme="minorHAnsi"/>
          <w:sz w:val="24"/>
          <w:szCs w:val="24"/>
        </w:rPr>
        <w:t xml:space="preserve"> reikalavim</w:t>
      </w:r>
      <w:r w:rsidR="00292963" w:rsidRPr="003A142A">
        <w:rPr>
          <w:rFonts w:eastAsia="Times New Roman" w:cstheme="minorHAnsi"/>
          <w:sz w:val="24"/>
          <w:szCs w:val="24"/>
        </w:rPr>
        <w:t xml:space="preserve">as </w:t>
      </w:r>
      <w:r w:rsidR="00C0223E">
        <w:rPr>
          <w:rFonts w:eastAsia="Times New Roman" w:cstheme="minorHAnsi"/>
          <w:sz w:val="24"/>
          <w:szCs w:val="24"/>
        </w:rPr>
        <w:t xml:space="preserve">dėl </w:t>
      </w:r>
      <w:r w:rsidR="00292963" w:rsidRPr="003A142A">
        <w:rPr>
          <w:rFonts w:eastAsia="Times New Roman" w:cstheme="minorHAnsi"/>
          <w:sz w:val="24"/>
          <w:szCs w:val="24"/>
        </w:rPr>
        <w:t xml:space="preserve"> statinio projekto dali</w:t>
      </w:r>
      <w:r w:rsidR="00666716" w:rsidRPr="003A142A">
        <w:rPr>
          <w:rFonts w:eastAsia="Times New Roman" w:cstheme="minorHAnsi"/>
          <w:sz w:val="24"/>
          <w:szCs w:val="24"/>
        </w:rPr>
        <w:t>ų</w:t>
      </w:r>
      <w:r w:rsidR="00292963" w:rsidRPr="003A142A">
        <w:rPr>
          <w:rFonts w:eastAsia="Times New Roman" w:cstheme="minorHAnsi"/>
          <w:sz w:val="24"/>
          <w:szCs w:val="24"/>
        </w:rPr>
        <w:t xml:space="preserve"> vadov</w:t>
      </w:r>
      <w:r w:rsidR="00C0223E">
        <w:rPr>
          <w:rFonts w:eastAsia="Times New Roman" w:cstheme="minorHAnsi"/>
          <w:sz w:val="24"/>
          <w:szCs w:val="24"/>
        </w:rPr>
        <w:t>ų</w:t>
      </w:r>
      <w:r w:rsidR="00292963" w:rsidRPr="003A142A">
        <w:rPr>
          <w:rFonts w:eastAsia="Times New Roman" w:cstheme="minorHAnsi"/>
          <w:sz w:val="24"/>
          <w:szCs w:val="24"/>
        </w:rPr>
        <w:t>).</w:t>
      </w:r>
      <w:r w:rsidRPr="003A142A">
        <w:rPr>
          <w:rFonts w:eastAsia="Times New Roman" w:cstheme="minorHAnsi"/>
          <w:sz w:val="24"/>
          <w:szCs w:val="24"/>
        </w:rPr>
        <w:t xml:space="preserve"> </w:t>
      </w:r>
    </w:p>
    <w:p w14:paraId="5FC51725" w14:textId="0A58552B" w:rsidR="0003158C" w:rsidRPr="003A142A" w:rsidRDefault="00D429CD" w:rsidP="00A52C35">
      <w:pPr>
        <w:pStyle w:val="Sraopastraipa"/>
        <w:tabs>
          <w:tab w:val="left" w:pos="567"/>
        </w:tabs>
        <w:spacing w:after="0" w:line="276" w:lineRule="auto"/>
        <w:ind w:left="0"/>
        <w:rPr>
          <w:rFonts w:eastAsia="Times New Roman" w:cstheme="minorHAnsi"/>
          <w:sz w:val="24"/>
          <w:szCs w:val="24"/>
        </w:rPr>
      </w:pPr>
      <w:r>
        <w:rPr>
          <w:rFonts w:eastAsia="Times New Roman" w:cstheme="minorHAnsi"/>
          <w:sz w:val="24"/>
          <w:szCs w:val="24"/>
        </w:rPr>
        <w:t>Taip pat nurodyta pareiga u</w:t>
      </w:r>
      <w:r w:rsidR="00FF79C7" w:rsidRPr="003A142A">
        <w:rPr>
          <w:rFonts w:eastAsia="Times New Roman" w:cstheme="minorHAnsi"/>
          <w:sz w:val="24"/>
          <w:szCs w:val="24"/>
        </w:rPr>
        <w:t>žsienio šalių specialist</w:t>
      </w:r>
      <w:r w:rsidR="00C0223E">
        <w:rPr>
          <w:rFonts w:eastAsia="Times New Roman" w:cstheme="minorHAnsi"/>
          <w:sz w:val="24"/>
          <w:szCs w:val="24"/>
        </w:rPr>
        <w:t>ams</w:t>
      </w:r>
      <w:r w:rsidR="00FF79C7" w:rsidRPr="003A142A">
        <w:rPr>
          <w:rFonts w:eastAsia="Times New Roman" w:cstheme="minorHAnsi"/>
          <w:sz w:val="24"/>
          <w:szCs w:val="24"/>
        </w:rPr>
        <w:t xml:space="preserve">, t. y. ypatingo statinio </w:t>
      </w:r>
      <w:r w:rsidR="00FF79C7" w:rsidRPr="003A142A">
        <w:rPr>
          <w:rFonts w:eastAsia="Times New Roman" w:cstheme="minorHAnsi"/>
          <w:b/>
          <w:bCs/>
          <w:sz w:val="24"/>
          <w:szCs w:val="24"/>
        </w:rPr>
        <w:t xml:space="preserve">projekto </w:t>
      </w:r>
      <w:r w:rsidR="00C0223E" w:rsidRPr="003A142A">
        <w:rPr>
          <w:rFonts w:eastAsia="Times New Roman" w:cstheme="minorHAnsi"/>
          <w:b/>
          <w:bCs/>
          <w:sz w:val="24"/>
          <w:szCs w:val="24"/>
        </w:rPr>
        <w:t>vadov</w:t>
      </w:r>
      <w:r w:rsidR="00C0223E">
        <w:rPr>
          <w:rFonts w:eastAsia="Times New Roman" w:cstheme="minorHAnsi"/>
          <w:b/>
          <w:bCs/>
          <w:sz w:val="24"/>
          <w:szCs w:val="24"/>
        </w:rPr>
        <w:t>ui</w:t>
      </w:r>
      <w:r w:rsidR="00FF79C7" w:rsidRPr="003A142A">
        <w:rPr>
          <w:rFonts w:eastAsia="Times New Roman" w:cstheme="minorHAnsi"/>
          <w:sz w:val="24"/>
          <w:szCs w:val="24"/>
        </w:rPr>
        <w:t xml:space="preserve">, ypatingo statinio projekto vykdymo priežiūros </w:t>
      </w:r>
      <w:r w:rsidR="00C0223E" w:rsidRPr="003A142A">
        <w:rPr>
          <w:rFonts w:eastAsia="Times New Roman" w:cstheme="minorHAnsi"/>
          <w:sz w:val="24"/>
          <w:szCs w:val="24"/>
        </w:rPr>
        <w:t>vadov</w:t>
      </w:r>
      <w:r w:rsidR="00C0223E">
        <w:rPr>
          <w:rFonts w:eastAsia="Times New Roman" w:cstheme="minorHAnsi"/>
          <w:sz w:val="24"/>
          <w:szCs w:val="24"/>
        </w:rPr>
        <w:t>ui</w:t>
      </w:r>
      <w:r w:rsidR="00C0223E" w:rsidRPr="003A142A">
        <w:rPr>
          <w:rFonts w:eastAsia="Times New Roman" w:cstheme="minorHAnsi"/>
          <w:sz w:val="24"/>
          <w:szCs w:val="24"/>
        </w:rPr>
        <w:t xml:space="preserve"> </w:t>
      </w:r>
      <w:r w:rsidR="00FF79C7" w:rsidRPr="003A142A">
        <w:rPr>
          <w:rFonts w:eastAsia="Times New Roman" w:cstheme="minorHAnsi"/>
          <w:sz w:val="24"/>
          <w:szCs w:val="24"/>
        </w:rPr>
        <w:t xml:space="preserve">(jei į projekto vadovo ir projekto vykdymo priežiūros vadovo pareigas </w:t>
      </w:r>
      <w:r w:rsidR="00FF79C7" w:rsidRPr="003A142A">
        <w:rPr>
          <w:rFonts w:eastAsia="Times New Roman" w:cstheme="minorHAnsi"/>
          <w:b/>
          <w:bCs/>
          <w:sz w:val="24"/>
          <w:szCs w:val="24"/>
        </w:rPr>
        <w:t>bus siūlomas architektas</w:t>
      </w:r>
      <w:r w:rsidR="00FF79C7" w:rsidRPr="003A142A">
        <w:rPr>
          <w:rFonts w:eastAsia="Times New Roman" w:cstheme="minorHAnsi"/>
          <w:sz w:val="24"/>
          <w:szCs w:val="24"/>
        </w:rPr>
        <w:t>), po pirkimo paskelbimo kaip įmanoma greičiau kreiptis į Lietuvos Respublikos aplinkos ministeriją (https://am.lrv.lt/) ir Lietuvos architektų rūmus (https://www.architekturumai.lt),  su prašymu išduoti teisės pripažinimo dokumentą</w:t>
      </w:r>
      <w:r w:rsidR="001F1338">
        <w:rPr>
          <w:rFonts w:eastAsia="Times New Roman" w:cstheme="minorHAnsi"/>
          <w:sz w:val="24"/>
          <w:szCs w:val="24"/>
        </w:rPr>
        <w:t xml:space="preserve">, taip pat nurodyta, kad </w:t>
      </w:r>
      <w:r w:rsidR="00E860DE">
        <w:rPr>
          <w:rFonts w:eastAsia="Times New Roman" w:cstheme="minorHAnsi"/>
          <w:sz w:val="24"/>
          <w:szCs w:val="24"/>
        </w:rPr>
        <w:t>„</w:t>
      </w:r>
      <w:r w:rsidR="00FF79C7" w:rsidRPr="003A142A">
        <w:rPr>
          <w:rFonts w:eastAsia="Times New Roman" w:cstheme="minorHAnsi"/>
          <w:sz w:val="24"/>
          <w:szCs w:val="24"/>
        </w:rPr>
        <w:t xml:space="preserve"> </w:t>
      </w:r>
      <w:r w:rsidR="00FF79C7" w:rsidRPr="003A142A">
        <w:rPr>
          <w:rFonts w:eastAsia="Times New Roman" w:cstheme="minorHAnsi"/>
          <w:b/>
          <w:bCs/>
          <w:sz w:val="24"/>
          <w:szCs w:val="24"/>
        </w:rPr>
        <w:t xml:space="preserve">SSVA </w:t>
      </w:r>
      <w:r w:rsidR="001F0A58" w:rsidRPr="003A142A">
        <w:rPr>
          <w:rFonts w:eastAsia="Times New Roman" w:cstheme="minorHAnsi"/>
          <w:b/>
          <w:bCs/>
          <w:sz w:val="24"/>
          <w:szCs w:val="24"/>
        </w:rPr>
        <w:t>neišduo</w:t>
      </w:r>
      <w:r w:rsidR="001F0A58">
        <w:rPr>
          <w:rFonts w:eastAsia="Times New Roman" w:cstheme="minorHAnsi"/>
          <w:b/>
          <w:bCs/>
          <w:sz w:val="24"/>
          <w:szCs w:val="24"/>
        </w:rPr>
        <w:t>d</w:t>
      </w:r>
      <w:r w:rsidR="001F0A58" w:rsidRPr="003A142A">
        <w:rPr>
          <w:rFonts w:eastAsia="Times New Roman" w:cstheme="minorHAnsi"/>
          <w:b/>
          <w:bCs/>
          <w:sz w:val="24"/>
          <w:szCs w:val="24"/>
        </w:rPr>
        <w:t>a</w:t>
      </w:r>
      <w:r w:rsidR="001F0A58" w:rsidRPr="003A142A">
        <w:rPr>
          <w:rFonts w:eastAsia="Times New Roman" w:cstheme="minorHAnsi"/>
          <w:sz w:val="24"/>
          <w:szCs w:val="24"/>
        </w:rPr>
        <w:t xml:space="preserve"> </w:t>
      </w:r>
      <w:r w:rsidR="00FF79C7" w:rsidRPr="003A142A">
        <w:rPr>
          <w:rFonts w:eastAsia="Times New Roman" w:cstheme="minorHAnsi"/>
          <w:sz w:val="24"/>
          <w:szCs w:val="24"/>
        </w:rPr>
        <w:t xml:space="preserve">atestatų / teisės pripažinimo dokumentų </w:t>
      </w:r>
      <w:r w:rsidR="00FF79C7" w:rsidRPr="003A142A">
        <w:rPr>
          <w:rFonts w:eastAsia="Times New Roman" w:cstheme="minorHAnsi"/>
          <w:b/>
          <w:bCs/>
          <w:sz w:val="24"/>
          <w:szCs w:val="24"/>
        </w:rPr>
        <w:t>architektams</w:t>
      </w:r>
      <w:r w:rsidR="00E860DE">
        <w:rPr>
          <w:rFonts w:eastAsia="Times New Roman" w:cstheme="minorHAnsi"/>
          <w:b/>
          <w:bCs/>
          <w:sz w:val="24"/>
          <w:szCs w:val="24"/>
        </w:rPr>
        <w:t>“</w:t>
      </w:r>
      <w:r w:rsidR="00BB0AC5">
        <w:rPr>
          <w:rFonts w:eastAsia="Times New Roman" w:cstheme="minorHAnsi"/>
          <w:b/>
          <w:bCs/>
          <w:sz w:val="24"/>
          <w:szCs w:val="24"/>
        </w:rPr>
        <w:t xml:space="preserve">. </w:t>
      </w:r>
      <w:r w:rsidR="001F0A58">
        <w:rPr>
          <w:rFonts w:eastAsia="Times New Roman" w:cstheme="minorHAnsi"/>
          <w:sz w:val="24"/>
          <w:szCs w:val="24"/>
        </w:rPr>
        <w:t>Pažymėtina, kad v</w:t>
      </w:r>
      <w:r w:rsidR="009D6E2B" w:rsidRPr="003A142A">
        <w:rPr>
          <w:rFonts w:eastAsia="Times New Roman" w:cstheme="minorHAnsi"/>
          <w:sz w:val="24"/>
          <w:szCs w:val="24"/>
        </w:rPr>
        <w:t xml:space="preserve">adovaujantis statybos techninio reglamento </w:t>
      </w:r>
      <w:hyperlink r:id="rId9" w:history="1">
        <w:r w:rsidR="009D6E2B" w:rsidRPr="003A142A">
          <w:rPr>
            <w:rStyle w:val="Hipersaitas"/>
            <w:rFonts w:eastAsia="Times New Roman" w:cstheme="minorHAnsi"/>
            <w:sz w:val="24"/>
            <w:szCs w:val="24"/>
          </w:rPr>
          <w:t>STR 1.02.01:2017 „Statybos dalyvių atestavimo ir teisės pripažinimo tvarkos aprašas“</w:t>
        </w:r>
      </w:hyperlink>
      <w:r w:rsidR="009D6E2B" w:rsidRPr="003A142A">
        <w:rPr>
          <w:rFonts w:eastAsia="Times New Roman" w:cstheme="minorHAnsi"/>
          <w:sz w:val="24"/>
          <w:szCs w:val="24"/>
        </w:rPr>
        <w:t xml:space="preserve"> 53.3 punktu</w:t>
      </w:r>
      <w:r w:rsidR="009D6E2B" w:rsidRPr="003A142A">
        <w:rPr>
          <w:rStyle w:val="Puslapioinaosnuoroda"/>
          <w:rFonts w:eastAsia="Times New Roman" w:cstheme="minorHAnsi"/>
          <w:sz w:val="24"/>
          <w:szCs w:val="24"/>
        </w:rPr>
        <w:footnoteReference w:id="1"/>
      </w:r>
      <w:r w:rsidR="009D6E2B" w:rsidRPr="003A142A">
        <w:rPr>
          <w:rFonts w:eastAsia="Times New Roman" w:cstheme="minorHAnsi"/>
          <w:sz w:val="24"/>
          <w:szCs w:val="24"/>
        </w:rPr>
        <w:t xml:space="preserve"> teisės pripažinimo dokumentai </w:t>
      </w:r>
      <w:r w:rsidR="00B71857" w:rsidRPr="003A142A">
        <w:rPr>
          <w:rFonts w:eastAsia="Times New Roman" w:cstheme="minorHAnsi"/>
          <w:sz w:val="24"/>
          <w:szCs w:val="24"/>
        </w:rPr>
        <w:t xml:space="preserve">(toliau – TPD) </w:t>
      </w:r>
      <w:r w:rsidR="009D6E2B" w:rsidRPr="003A142A">
        <w:rPr>
          <w:rFonts w:eastAsia="Times New Roman" w:cstheme="minorHAnsi"/>
          <w:sz w:val="24"/>
          <w:szCs w:val="24"/>
        </w:rPr>
        <w:t xml:space="preserve">SSVA nėra išduodami tik ypatingojo ir neypatingojo statinio </w:t>
      </w:r>
      <w:r w:rsidR="009D6E2B" w:rsidRPr="003A142A">
        <w:rPr>
          <w:rFonts w:eastAsia="Times New Roman" w:cstheme="minorHAnsi"/>
          <w:b/>
          <w:bCs/>
          <w:sz w:val="24"/>
          <w:szCs w:val="24"/>
        </w:rPr>
        <w:t>projekto architektūrinės dalies vadovams</w:t>
      </w:r>
      <w:r w:rsidR="009D6E2B" w:rsidRPr="003A142A">
        <w:rPr>
          <w:rFonts w:eastAsia="Times New Roman" w:cstheme="minorHAnsi"/>
          <w:sz w:val="24"/>
          <w:szCs w:val="24"/>
        </w:rPr>
        <w:t>.</w:t>
      </w:r>
      <w:r w:rsidR="00666716" w:rsidRPr="003A142A">
        <w:rPr>
          <w:rFonts w:eastAsia="Times New Roman" w:cstheme="minorHAnsi"/>
          <w:sz w:val="24"/>
          <w:szCs w:val="24"/>
        </w:rPr>
        <w:t xml:space="preserve"> Atsižvelgiant į statybos srities teisinį reguliavimą, Tarnyba rekomenduoja </w:t>
      </w:r>
      <w:r w:rsidR="00B71857" w:rsidRPr="003A142A">
        <w:rPr>
          <w:rFonts w:eastAsia="Times New Roman" w:cstheme="minorHAnsi"/>
          <w:sz w:val="24"/>
          <w:szCs w:val="24"/>
        </w:rPr>
        <w:t>patikslinti, t. y. išskirti</w:t>
      </w:r>
      <w:r w:rsidR="00666716" w:rsidRPr="003A142A">
        <w:rPr>
          <w:rFonts w:eastAsia="Times New Roman" w:cstheme="minorHAnsi"/>
          <w:sz w:val="24"/>
          <w:szCs w:val="24"/>
        </w:rPr>
        <w:t xml:space="preserve"> sąlyg</w:t>
      </w:r>
      <w:r w:rsidR="00B71857" w:rsidRPr="003A142A">
        <w:rPr>
          <w:rFonts w:eastAsia="Times New Roman" w:cstheme="minorHAnsi"/>
          <w:sz w:val="24"/>
          <w:szCs w:val="24"/>
        </w:rPr>
        <w:t>as</w:t>
      </w:r>
      <w:r w:rsidR="00666716" w:rsidRPr="003A142A">
        <w:rPr>
          <w:rFonts w:eastAsia="Times New Roman" w:cstheme="minorHAnsi"/>
          <w:sz w:val="24"/>
          <w:szCs w:val="24"/>
        </w:rPr>
        <w:t xml:space="preserve"> dėl užsienio šalies specialist</w:t>
      </w:r>
      <w:r w:rsidR="00B71857" w:rsidRPr="003A142A">
        <w:rPr>
          <w:rFonts w:eastAsia="Times New Roman" w:cstheme="minorHAnsi"/>
          <w:sz w:val="24"/>
          <w:szCs w:val="24"/>
        </w:rPr>
        <w:t>o</w:t>
      </w:r>
      <w:r w:rsidR="00666716" w:rsidRPr="003A142A">
        <w:rPr>
          <w:rFonts w:eastAsia="Times New Roman" w:cstheme="minorHAnsi"/>
          <w:sz w:val="24"/>
          <w:szCs w:val="24"/>
        </w:rPr>
        <w:t xml:space="preserve">, siekiančio eiti šiame Pirkimo objekte </w:t>
      </w:r>
      <w:r w:rsidR="00666716" w:rsidRPr="003A142A">
        <w:rPr>
          <w:rFonts w:eastAsia="Times New Roman" w:cstheme="minorHAnsi"/>
          <w:b/>
          <w:bCs/>
          <w:sz w:val="24"/>
          <w:szCs w:val="24"/>
        </w:rPr>
        <w:t>neypatingojo statinio projekto architektūrinės dalies vadovo</w:t>
      </w:r>
      <w:r w:rsidR="00666716" w:rsidRPr="003A142A">
        <w:rPr>
          <w:rFonts w:eastAsia="Times New Roman" w:cstheme="minorHAnsi"/>
          <w:sz w:val="24"/>
          <w:szCs w:val="24"/>
        </w:rPr>
        <w:t xml:space="preserve"> pareigas, kreipimosi į Lietuvos architektų rūmus</w:t>
      </w:r>
      <w:r w:rsidR="00673538" w:rsidRPr="003A142A">
        <w:rPr>
          <w:rFonts w:eastAsia="Times New Roman" w:cstheme="minorHAnsi"/>
          <w:sz w:val="24"/>
          <w:szCs w:val="24"/>
        </w:rPr>
        <w:t xml:space="preserve"> dėl TDP išdavimo, </w:t>
      </w:r>
      <w:r w:rsidR="00B71857" w:rsidRPr="003A142A">
        <w:rPr>
          <w:rFonts w:eastAsia="Times New Roman" w:cstheme="minorHAnsi"/>
          <w:sz w:val="24"/>
          <w:szCs w:val="24"/>
        </w:rPr>
        <w:t>ir</w:t>
      </w:r>
      <w:r w:rsidR="00673538" w:rsidRPr="003A142A">
        <w:rPr>
          <w:rFonts w:eastAsia="Times New Roman" w:cstheme="minorHAnsi"/>
          <w:sz w:val="24"/>
          <w:szCs w:val="24"/>
        </w:rPr>
        <w:t xml:space="preserve"> </w:t>
      </w:r>
      <w:r w:rsidR="00B71857" w:rsidRPr="003A142A">
        <w:rPr>
          <w:rFonts w:eastAsia="Times New Roman" w:cstheme="minorHAnsi"/>
          <w:sz w:val="24"/>
          <w:szCs w:val="24"/>
        </w:rPr>
        <w:t xml:space="preserve">dėl visų kitų </w:t>
      </w:r>
      <w:r w:rsidR="00B71857" w:rsidRPr="003A142A">
        <w:rPr>
          <w:rFonts w:eastAsia="Times New Roman" w:cstheme="minorHAnsi"/>
          <w:sz w:val="24"/>
          <w:szCs w:val="24"/>
        </w:rPr>
        <w:lastRenderedPageBreak/>
        <w:t>neypatingojo statinio vadovų, nurodytų kvalifikacijos reikalavime, kreipimosi dėl TPD išdavimo į SSVA.</w:t>
      </w:r>
    </w:p>
    <w:p w14:paraId="7697FDF1" w14:textId="77777777" w:rsidR="00B71857" w:rsidRPr="003A142A" w:rsidRDefault="00B71857" w:rsidP="00966296">
      <w:pPr>
        <w:pStyle w:val="Sraopastraipa"/>
        <w:tabs>
          <w:tab w:val="left" w:pos="567"/>
        </w:tabs>
        <w:spacing w:after="0" w:line="276" w:lineRule="auto"/>
        <w:ind w:left="0"/>
        <w:rPr>
          <w:rFonts w:eastAsia="Times New Roman" w:cstheme="minorHAnsi"/>
          <w:sz w:val="24"/>
          <w:szCs w:val="24"/>
        </w:rPr>
      </w:pPr>
    </w:p>
    <w:p w14:paraId="5B03BC27" w14:textId="17EC85B3" w:rsidR="00B71857" w:rsidRPr="003A142A" w:rsidRDefault="00B71857" w:rsidP="00966296">
      <w:pPr>
        <w:pStyle w:val="Sraopastraipa"/>
        <w:numPr>
          <w:ilvl w:val="0"/>
          <w:numId w:val="4"/>
        </w:numPr>
        <w:tabs>
          <w:tab w:val="left" w:pos="567"/>
        </w:tabs>
        <w:spacing w:after="0" w:line="276" w:lineRule="auto"/>
        <w:ind w:left="0" w:firstLine="0"/>
        <w:rPr>
          <w:rFonts w:eastAsia="Times New Roman" w:cstheme="minorHAnsi"/>
          <w:b/>
          <w:bCs/>
          <w:sz w:val="24"/>
          <w:szCs w:val="24"/>
          <w:lang w:val="lt"/>
        </w:rPr>
      </w:pPr>
      <w:r w:rsidRPr="003A142A">
        <w:rPr>
          <w:rFonts w:eastAsia="Times New Roman" w:cstheme="minorHAnsi"/>
          <w:b/>
          <w:bCs/>
          <w:sz w:val="24"/>
          <w:szCs w:val="24"/>
        </w:rPr>
        <w:t>Dėl aplinkosauginio reikalavimo</w:t>
      </w:r>
    </w:p>
    <w:p w14:paraId="7AE5E345" w14:textId="77777777" w:rsidR="00B71857" w:rsidRPr="003A142A" w:rsidRDefault="00B71857" w:rsidP="00966296">
      <w:pPr>
        <w:pStyle w:val="Sraopastraipa"/>
        <w:tabs>
          <w:tab w:val="left" w:pos="567"/>
        </w:tabs>
        <w:spacing w:after="0" w:line="276" w:lineRule="auto"/>
        <w:ind w:left="1070"/>
        <w:rPr>
          <w:rFonts w:eastAsia="Times New Roman" w:cstheme="minorHAnsi"/>
          <w:sz w:val="24"/>
          <w:szCs w:val="24"/>
          <w:lang w:val="lt"/>
        </w:rPr>
      </w:pPr>
    </w:p>
    <w:p w14:paraId="30927E5F" w14:textId="4CA0CCCC" w:rsidR="00AE1E9F" w:rsidRPr="003A142A" w:rsidRDefault="00CA7678" w:rsidP="00966296">
      <w:pPr>
        <w:pStyle w:val="Sraopastraipa"/>
        <w:numPr>
          <w:ilvl w:val="1"/>
          <w:numId w:val="4"/>
        </w:numPr>
        <w:tabs>
          <w:tab w:val="left" w:pos="567"/>
        </w:tabs>
        <w:spacing w:after="0" w:line="276" w:lineRule="auto"/>
        <w:ind w:left="0" w:firstLine="0"/>
        <w:rPr>
          <w:rFonts w:eastAsia="Times New Roman" w:cstheme="minorHAnsi"/>
          <w:sz w:val="24"/>
          <w:szCs w:val="24"/>
        </w:rPr>
      </w:pPr>
      <w:r w:rsidRPr="003A142A">
        <w:rPr>
          <w:rFonts w:eastAsia="Times New Roman" w:cstheme="minorHAnsi"/>
          <w:sz w:val="24"/>
          <w:szCs w:val="24"/>
          <w:lang w:val="lt"/>
        </w:rPr>
        <w:t xml:space="preserve"> </w:t>
      </w:r>
      <w:r w:rsidR="00091A24" w:rsidRPr="003A142A">
        <w:rPr>
          <w:rFonts w:eastAsia="Times New Roman" w:cstheme="minorHAnsi"/>
          <w:sz w:val="24"/>
          <w:szCs w:val="24"/>
          <w:lang w:val="lt"/>
        </w:rPr>
        <w:t xml:space="preserve">Pažymėtina, kad </w:t>
      </w:r>
      <w:bookmarkStart w:id="1" w:name="_Hlk159502589"/>
      <w:bookmarkStart w:id="2" w:name="_Hlk159502211"/>
      <w:r w:rsidR="00B71857" w:rsidRPr="003A142A">
        <w:rPr>
          <w:rFonts w:eastAsia="Times New Roman" w:cstheme="minorHAnsi"/>
          <w:sz w:val="24"/>
          <w:szCs w:val="24"/>
          <w:lang w:val="lt"/>
        </w:rPr>
        <w:t>6 priedo lentelės „Vadybos sistemos reikalavimai“</w:t>
      </w:r>
      <w:bookmarkEnd w:id="1"/>
      <w:r w:rsidR="00B71857" w:rsidRPr="003A142A">
        <w:rPr>
          <w:rFonts w:eastAsia="Times New Roman" w:cstheme="minorHAnsi"/>
          <w:sz w:val="24"/>
          <w:szCs w:val="24"/>
          <w:lang w:val="lt"/>
        </w:rPr>
        <w:t xml:space="preserve"> </w:t>
      </w:r>
      <w:bookmarkEnd w:id="2"/>
      <w:r w:rsidR="00B71857" w:rsidRPr="003A142A">
        <w:rPr>
          <w:rFonts w:eastAsia="Times New Roman" w:cstheme="minorHAnsi"/>
          <w:sz w:val="24"/>
          <w:szCs w:val="24"/>
          <w:lang w:val="lt"/>
        </w:rPr>
        <w:t>skiltyje „Atitiktį pagrindžiantys dokumentai“ nurodyta sąlyga „</w:t>
      </w:r>
      <w:r w:rsidR="00091A24" w:rsidRPr="003A142A">
        <w:rPr>
          <w:rFonts w:eastAsia="Times New Roman" w:cstheme="minorHAnsi"/>
          <w:sz w:val="24"/>
          <w:szCs w:val="24"/>
          <w:lang w:val="lt"/>
        </w:rPr>
        <w:t xml:space="preserve">&lt;...&gt; </w:t>
      </w:r>
      <w:r w:rsidR="00B71857" w:rsidRPr="003A142A">
        <w:rPr>
          <w:rFonts w:eastAsia="Times New Roman" w:cstheme="minorHAnsi"/>
          <w:sz w:val="24"/>
          <w:szCs w:val="24"/>
          <w:lang w:val="lt"/>
        </w:rPr>
        <w:t xml:space="preserve">Taip pat priima ir kitus lygiaverčius aplinkosaugos vadybos priemonių įrodymus, jeigu </w:t>
      </w:r>
      <w:r w:rsidR="00B71857" w:rsidRPr="003A142A">
        <w:rPr>
          <w:rFonts w:eastAsia="Times New Roman" w:cstheme="minorHAnsi"/>
          <w:b/>
          <w:bCs/>
          <w:sz w:val="24"/>
          <w:szCs w:val="24"/>
          <w:lang w:val="lt"/>
        </w:rPr>
        <w:t>tiekėjas įrodo</w:t>
      </w:r>
      <w:r w:rsidR="00B71857" w:rsidRPr="003A142A">
        <w:rPr>
          <w:rFonts w:eastAsia="Times New Roman" w:cstheme="minorHAnsi"/>
          <w:sz w:val="24"/>
          <w:szCs w:val="24"/>
          <w:lang w:val="lt"/>
        </w:rPr>
        <w:t xml:space="preserve">, kad dėl nuo jo nepriklausančių objektyvių priežasčių jis </w:t>
      </w:r>
      <w:r w:rsidR="00B71857" w:rsidRPr="003A142A">
        <w:rPr>
          <w:rFonts w:eastAsia="Times New Roman" w:cstheme="minorHAnsi"/>
          <w:b/>
          <w:bCs/>
          <w:sz w:val="24"/>
          <w:szCs w:val="24"/>
          <w:lang w:val="lt"/>
        </w:rPr>
        <w:t>negali pateikti sertifikatų per nustatytą laik</w:t>
      </w:r>
      <w:r w:rsidR="00B00092" w:rsidRPr="003A142A">
        <w:rPr>
          <w:rFonts w:eastAsia="Times New Roman" w:cstheme="minorHAnsi"/>
          <w:b/>
          <w:bCs/>
          <w:sz w:val="24"/>
          <w:szCs w:val="24"/>
          <w:lang w:val="lt"/>
        </w:rPr>
        <w:t>ą</w:t>
      </w:r>
      <w:r w:rsidR="00B00092" w:rsidRPr="003A142A">
        <w:rPr>
          <w:rFonts w:eastAsia="Times New Roman" w:cstheme="minorHAnsi"/>
          <w:sz w:val="24"/>
          <w:szCs w:val="24"/>
          <w:lang w:val="lt"/>
        </w:rPr>
        <w:t xml:space="preserve">“ </w:t>
      </w:r>
      <w:r w:rsidR="00091A24" w:rsidRPr="003A142A">
        <w:rPr>
          <w:rFonts w:eastAsia="Times New Roman" w:cstheme="minorHAnsi"/>
          <w:sz w:val="24"/>
          <w:szCs w:val="24"/>
          <w:lang w:val="lt"/>
        </w:rPr>
        <w:t xml:space="preserve">yra </w:t>
      </w:r>
      <w:r w:rsidR="00B00092" w:rsidRPr="003A142A">
        <w:rPr>
          <w:rFonts w:eastAsia="Times New Roman" w:cstheme="minorHAnsi"/>
          <w:sz w:val="24"/>
          <w:szCs w:val="24"/>
          <w:lang w:val="lt"/>
        </w:rPr>
        <w:t xml:space="preserve">taikoma tik </w:t>
      </w:r>
      <w:r w:rsidR="00B00092" w:rsidRPr="003A142A">
        <w:rPr>
          <w:rFonts w:eastAsia="Times New Roman" w:cstheme="minorHAnsi"/>
          <w:b/>
          <w:bCs/>
          <w:sz w:val="24"/>
          <w:szCs w:val="24"/>
          <w:lang w:val="lt"/>
        </w:rPr>
        <w:t>vykdant tarptautinį pirkimą</w:t>
      </w:r>
      <w:r w:rsidR="005A12AA" w:rsidRPr="003A142A">
        <w:rPr>
          <w:rStyle w:val="Puslapioinaosnuoroda"/>
          <w:rFonts w:eastAsia="Times New Roman" w:cstheme="minorHAnsi"/>
          <w:b/>
          <w:bCs/>
          <w:sz w:val="24"/>
          <w:szCs w:val="24"/>
          <w:lang w:val="lt"/>
        </w:rPr>
        <w:footnoteReference w:id="2"/>
      </w:r>
      <w:r w:rsidR="00B00092" w:rsidRPr="003A142A">
        <w:rPr>
          <w:rFonts w:eastAsia="Times New Roman" w:cstheme="minorHAnsi"/>
          <w:sz w:val="24"/>
          <w:szCs w:val="24"/>
          <w:lang w:val="lt"/>
        </w:rPr>
        <w:t xml:space="preserve">. Atkreiptinas dėmesys, kad kitame sakinyje aiškiai nurodyta, kad Perkančioji organizacija priima ir kitus tiekėjo lygiaverčių aplinkos apsaugos vadybos užtikrinimo priemonių įrodymus &lt;...&gt;, todėl rekomenduotina pašalinti sąlygą, taikomą tik tarptautiniuose pirkimuose. Taip pat </w:t>
      </w:r>
      <w:r w:rsidR="00091A24" w:rsidRPr="003A142A">
        <w:rPr>
          <w:rFonts w:eastAsia="Times New Roman" w:cstheme="minorHAnsi"/>
          <w:sz w:val="24"/>
          <w:szCs w:val="24"/>
          <w:lang w:val="lt"/>
        </w:rPr>
        <w:t>Tarnyba rekomenduoja</w:t>
      </w:r>
      <w:r w:rsidR="00B00092" w:rsidRPr="003A142A">
        <w:rPr>
          <w:rFonts w:eastAsia="Times New Roman" w:cstheme="minorHAnsi"/>
          <w:sz w:val="24"/>
          <w:szCs w:val="24"/>
          <w:lang w:val="lt"/>
        </w:rPr>
        <w:t xml:space="preserve"> </w:t>
      </w:r>
      <w:r w:rsidR="00091A24" w:rsidRPr="003A142A">
        <w:rPr>
          <w:rFonts w:eastAsia="Times New Roman" w:cstheme="minorHAnsi"/>
          <w:sz w:val="24"/>
          <w:szCs w:val="24"/>
          <w:lang w:val="lt"/>
        </w:rPr>
        <w:t xml:space="preserve">6 priedo lentelės „Vadybos sistemos reikalavimai“ </w:t>
      </w:r>
      <w:r w:rsidR="00B00092" w:rsidRPr="003A142A">
        <w:rPr>
          <w:rFonts w:eastAsia="Times New Roman" w:cstheme="minorHAnsi"/>
          <w:sz w:val="24"/>
          <w:szCs w:val="24"/>
          <w:lang w:val="lt"/>
        </w:rPr>
        <w:t xml:space="preserve">skiltyje „Subjektas, kuris turi atitikti reikalavimą“ tikslinti sąlygą „Tiekėjas </w:t>
      </w:r>
      <w:r w:rsidR="00B00092" w:rsidRPr="003A142A">
        <w:rPr>
          <w:rFonts w:eastAsia="Times New Roman" w:cstheme="minorHAnsi"/>
          <w:b/>
          <w:bCs/>
          <w:sz w:val="24"/>
          <w:szCs w:val="24"/>
          <w:lang w:val="lt"/>
        </w:rPr>
        <w:t>arba bent vienas</w:t>
      </w:r>
      <w:r w:rsidR="00B00092" w:rsidRPr="003A142A">
        <w:rPr>
          <w:rFonts w:eastAsia="Times New Roman" w:cstheme="minorHAnsi"/>
          <w:sz w:val="24"/>
          <w:szCs w:val="24"/>
          <w:lang w:val="lt"/>
        </w:rPr>
        <w:t xml:space="preserve"> tiekėjų grupės narys </w:t>
      </w:r>
      <w:r w:rsidR="00B00092" w:rsidRPr="003A142A">
        <w:rPr>
          <w:rFonts w:eastAsia="Times New Roman" w:cstheme="minorHAnsi"/>
          <w:b/>
          <w:bCs/>
          <w:sz w:val="24"/>
          <w:szCs w:val="24"/>
          <w:lang w:val="lt"/>
        </w:rPr>
        <w:t>arba visi</w:t>
      </w:r>
      <w:r w:rsidR="00B00092" w:rsidRPr="003A142A">
        <w:rPr>
          <w:rFonts w:eastAsia="Times New Roman" w:cstheme="minorHAnsi"/>
          <w:sz w:val="24"/>
          <w:szCs w:val="24"/>
          <w:lang w:val="lt"/>
        </w:rPr>
        <w:t xml:space="preserve"> tiekėjų grupės nariai </w:t>
      </w:r>
      <w:r w:rsidR="00B00092" w:rsidRPr="003A142A">
        <w:rPr>
          <w:rFonts w:eastAsia="Times New Roman" w:cstheme="minorHAnsi"/>
          <w:b/>
          <w:bCs/>
          <w:sz w:val="24"/>
          <w:szCs w:val="24"/>
          <w:lang w:val="lt"/>
        </w:rPr>
        <w:t>kartu</w:t>
      </w:r>
      <w:r w:rsidR="00B00092" w:rsidRPr="003A142A">
        <w:rPr>
          <w:rFonts w:eastAsia="Times New Roman" w:cstheme="minorHAnsi"/>
          <w:sz w:val="24"/>
          <w:szCs w:val="24"/>
          <w:lang w:val="lt"/>
        </w:rPr>
        <w:t>, jeigu pasiūlymą teikia tiekėjų grupė &lt;...&gt;</w:t>
      </w:r>
      <w:r w:rsidR="00091A24" w:rsidRPr="003A142A">
        <w:rPr>
          <w:rFonts w:eastAsia="Times New Roman" w:cstheme="minorHAnsi"/>
          <w:sz w:val="24"/>
          <w:szCs w:val="24"/>
          <w:lang w:val="lt"/>
        </w:rPr>
        <w:t>“</w:t>
      </w:r>
      <w:r w:rsidR="00B00092" w:rsidRPr="003A142A">
        <w:rPr>
          <w:rFonts w:eastAsia="Times New Roman" w:cstheme="minorHAnsi"/>
          <w:sz w:val="24"/>
          <w:szCs w:val="24"/>
          <w:lang w:val="lt"/>
        </w:rPr>
        <w:t xml:space="preserve">, kadangi </w:t>
      </w:r>
      <w:r w:rsidR="00B00092" w:rsidRPr="003A142A">
        <w:rPr>
          <w:rFonts w:eastAsia="Times New Roman" w:cstheme="minorHAnsi"/>
          <w:b/>
          <w:bCs/>
          <w:sz w:val="24"/>
          <w:szCs w:val="24"/>
          <w:lang w:val="lt"/>
        </w:rPr>
        <w:t>kiekvienas</w:t>
      </w:r>
      <w:r w:rsidR="00B00092" w:rsidRPr="003A142A">
        <w:rPr>
          <w:rFonts w:eastAsia="Times New Roman" w:cstheme="minorHAnsi"/>
          <w:sz w:val="24"/>
          <w:szCs w:val="24"/>
          <w:lang w:val="lt"/>
        </w:rPr>
        <w:t xml:space="preserve"> </w:t>
      </w:r>
      <w:r w:rsidR="00EA41A6" w:rsidRPr="003A142A">
        <w:rPr>
          <w:rFonts w:eastAsia="Times New Roman" w:cstheme="minorHAnsi"/>
          <w:sz w:val="24"/>
          <w:szCs w:val="24"/>
          <w:lang w:val="lt"/>
        </w:rPr>
        <w:t>(ne bent vienas</w:t>
      </w:r>
      <w:r w:rsidR="00EA41A6">
        <w:rPr>
          <w:rFonts w:eastAsia="Times New Roman" w:cstheme="minorHAnsi"/>
          <w:sz w:val="24"/>
          <w:szCs w:val="24"/>
          <w:lang w:val="lt"/>
        </w:rPr>
        <w:t xml:space="preserve"> ir</w:t>
      </w:r>
      <w:r w:rsidR="00EA41A6" w:rsidRPr="003A142A">
        <w:rPr>
          <w:rFonts w:eastAsia="Times New Roman" w:cstheme="minorHAnsi"/>
          <w:sz w:val="24"/>
          <w:szCs w:val="24"/>
          <w:lang w:val="lt"/>
        </w:rPr>
        <w:t xml:space="preserve"> ne visi kartu)</w:t>
      </w:r>
      <w:r w:rsidR="00EA41A6">
        <w:rPr>
          <w:rFonts w:eastAsia="Times New Roman" w:cstheme="minorHAnsi"/>
          <w:sz w:val="24"/>
          <w:szCs w:val="24"/>
          <w:lang w:val="lt"/>
        </w:rPr>
        <w:t xml:space="preserve"> </w:t>
      </w:r>
      <w:r w:rsidR="00B00092" w:rsidRPr="003A142A">
        <w:rPr>
          <w:rFonts w:eastAsia="Times New Roman" w:cstheme="minorHAnsi"/>
          <w:sz w:val="24"/>
          <w:szCs w:val="24"/>
          <w:lang w:val="lt"/>
        </w:rPr>
        <w:t xml:space="preserve">tiekėjų grupės narys  privalo atitikti reikalavimą </w:t>
      </w:r>
      <w:r w:rsidR="00B00092" w:rsidRPr="00EA41A6">
        <w:rPr>
          <w:rFonts w:eastAsia="Times New Roman" w:cstheme="minorHAnsi"/>
          <w:b/>
          <w:bCs/>
          <w:sz w:val="24"/>
          <w:szCs w:val="24"/>
          <w:lang w:val="lt"/>
        </w:rPr>
        <w:t xml:space="preserve">pagal </w:t>
      </w:r>
      <w:r w:rsidR="00B00092" w:rsidRPr="00EA41A6">
        <w:rPr>
          <w:rFonts w:eastAsia="Times New Roman" w:cstheme="minorHAnsi"/>
          <w:b/>
          <w:bCs/>
          <w:sz w:val="24"/>
          <w:szCs w:val="24"/>
        </w:rPr>
        <w:t>jų prisiimamus įsipareigojimus pirkimo sutarčiai vykdyti</w:t>
      </w:r>
      <w:r w:rsidR="00B00092" w:rsidRPr="003A142A">
        <w:rPr>
          <w:rFonts w:eastAsia="Times New Roman" w:cstheme="minorHAnsi"/>
          <w:sz w:val="24"/>
          <w:szCs w:val="24"/>
        </w:rPr>
        <w:t>.</w:t>
      </w:r>
    </w:p>
    <w:p w14:paraId="091A7B44" w14:textId="77777777" w:rsidR="00930AC1" w:rsidRPr="003A142A" w:rsidRDefault="00930AC1" w:rsidP="00966296">
      <w:pPr>
        <w:pStyle w:val="Sraopastraipa"/>
        <w:tabs>
          <w:tab w:val="left" w:pos="567"/>
        </w:tabs>
        <w:spacing w:after="0" w:line="276" w:lineRule="auto"/>
        <w:ind w:left="0"/>
        <w:rPr>
          <w:rFonts w:eastAsia="Times New Roman" w:cstheme="minorHAnsi"/>
          <w:sz w:val="24"/>
          <w:szCs w:val="24"/>
        </w:rPr>
      </w:pPr>
    </w:p>
    <w:p w14:paraId="60CE60C9" w14:textId="3D42C4FC" w:rsidR="00091A24" w:rsidRPr="003A142A" w:rsidRDefault="00CA7678" w:rsidP="00966296">
      <w:pPr>
        <w:pStyle w:val="Sraopastraipa"/>
        <w:numPr>
          <w:ilvl w:val="1"/>
          <w:numId w:val="4"/>
        </w:numPr>
        <w:tabs>
          <w:tab w:val="left" w:pos="567"/>
        </w:tabs>
        <w:spacing w:after="0" w:line="276" w:lineRule="auto"/>
        <w:ind w:left="0" w:firstLine="0"/>
        <w:rPr>
          <w:rFonts w:eastAsia="Times New Roman" w:cstheme="minorHAnsi"/>
          <w:sz w:val="24"/>
          <w:szCs w:val="24"/>
          <w:lang w:val="lt"/>
        </w:rPr>
      </w:pPr>
      <w:r w:rsidRPr="003A142A">
        <w:rPr>
          <w:rFonts w:eastAsia="Times New Roman" w:cstheme="minorHAnsi"/>
          <w:sz w:val="24"/>
          <w:szCs w:val="24"/>
        </w:rPr>
        <w:t xml:space="preserve"> Statybos rangos viešojo pirkimo–pardavimo sutarties </w:t>
      </w:r>
      <w:r w:rsidR="00930AC1" w:rsidRPr="003A142A">
        <w:rPr>
          <w:rFonts w:eastAsia="Times New Roman" w:cstheme="minorHAnsi"/>
          <w:sz w:val="24"/>
          <w:szCs w:val="24"/>
        </w:rPr>
        <w:t>S</w:t>
      </w:r>
      <w:r w:rsidRPr="003A142A">
        <w:rPr>
          <w:rFonts w:eastAsia="Times New Roman" w:cstheme="minorHAnsi"/>
          <w:sz w:val="24"/>
          <w:szCs w:val="24"/>
        </w:rPr>
        <w:t>pecialiosios dalies</w:t>
      </w:r>
      <w:r w:rsidR="00930AC1" w:rsidRPr="003A142A">
        <w:rPr>
          <w:rFonts w:eastAsia="Times New Roman" w:cstheme="minorHAnsi"/>
          <w:sz w:val="24"/>
          <w:szCs w:val="24"/>
        </w:rPr>
        <w:t xml:space="preserve"> (toliau -Specialioji dalis)</w:t>
      </w:r>
      <w:r w:rsidRPr="003A142A">
        <w:rPr>
          <w:rFonts w:eastAsia="Times New Roman" w:cstheme="minorHAnsi"/>
          <w:sz w:val="24"/>
          <w:szCs w:val="24"/>
        </w:rPr>
        <w:t xml:space="preserve"> 8.10 p</w:t>
      </w:r>
      <w:r w:rsidR="00930AC1" w:rsidRPr="003A142A">
        <w:rPr>
          <w:rFonts w:eastAsia="Times New Roman" w:cstheme="minorHAnsi"/>
          <w:sz w:val="24"/>
          <w:szCs w:val="24"/>
        </w:rPr>
        <w:t>unkte</w:t>
      </w:r>
      <w:r w:rsidRPr="003A142A">
        <w:rPr>
          <w:rFonts w:eastAsia="Times New Roman" w:cstheme="minorHAnsi"/>
          <w:sz w:val="24"/>
          <w:szCs w:val="24"/>
        </w:rPr>
        <w:t xml:space="preserve"> nurodyta, kad „Vykdydamas Sutartį Rangovas privalo užtikrinti (techniniame ir darbo projektuose ir statybos metu), kad statyboje naudojamos statybinės medžiagos atitiktų minimalius aplinkos apsaugos kriterijus &lt;...&gt; </w:t>
      </w:r>
      <w:r w:rsidRPr="003A142A">
        <w:rPr>
          <w:rFonts w:cstheme="minorHAnsi"/>
          <w:sz w:val="24"/>
          <w:szCs w:val="24"/>
        </w:rPr>
        <w:t>nurodytus Aprašo  2 priedo XIII skyriuje „Statybinės medžiagos</w:t>
      </w:r>
      <w:r w:rsidR="00930AC1" w:rsidRPr="003A142A">
        <w:rPr>
          <w:rFonts w:cstheme="minorHAnsi"/>
          <w:sz w:val="24"/>
          <w:szCs w:val="24"/>
        </w:rPr>
        <w:t>“</w:t>
      </w:r>
      <w:r w:rsidRPr="003A142A">
        <w:rPr>
          <w:rFonts w:cstheme="minorHAnsi"/>
          <w:sz w:val="24"/>
          <w:szCs w:val="24"/>
        </w:rPr>
        <w:t xml:space="preserve">. Pažymėtina, kad </w:t>
      </w:r>
      <w:r w:rsidR="00930AC1" w:rsidRPr="003A142A">
        <w:rPr>
          <w:rFonts w:cstheme="minorHAnsi"/>
          <w:sz w:val="24"/>
          <w:szCs w:val="24"/>
        </w:rPr>
        <w:t xml:space="preserve">nuo 2024 m. vasario 1 d. įsigaliojusios </w:t>
      </w:r>
      <w:r w:rsidRPr="003A142A">
        <w:rPr>
          <w:rFonts w:cstheme="minorHAnsi"/>
          <w:sz w:val="24"/>
          <w:szCs w:val="24"/>
        </w:rPr>
        <w:t xml:space="preserve">Aprašo </w:t>
      </w:r>
      <w:r w:rsidR="00930AC1" w:rsidRPr="003A142A">
        <w:rPr>
          <w:rFonts w:cstheme="minorHAnsi"/>
          <w:sz w:val="24"/>
          <w:szCs w:val="24"/>
        </w:rPr>
        <w:t xml:space="preserve">redakcijos 15.1 punkte nustatyta, kad kai perkamos pastatų projektavimo paslaugos, projekte turi būti numatyta ne tik, kad statyboje naudojamos statybinės medžiagos atitiktų minimalius aplinkos apsaugos kriterijus (XIII skyrius „Statybinės medžiagos“), bet kad </w:t>
      </w:r>
      <w:r w:rsidR="00902AF5">
        <w:rPr>
          <w:rFonts w:cstheme="minorHAnsi"/>
          <w:sz w:val="24"/>
          <w:szCs w:val="24"/>
        </w:rPr>
        <w:t xml:space="preserve">ir </w:t>
      </w:r>
      <w:r w:rsidR="00930AC1" w:rsidRPr="00902AF5">
        <w:rPr>
          <w:rFonts w:cstheme="minorHAnsi"/>
          <w:b/>
          <w:bCs/>
          <w:sz w:val="24"/>
          <w:szCs w:val="24"/>
        </w:rPr>
        <w:t>kiti su pastato projektu susiję produktai</w:t>
      </w:r>
      <w:r w:rsidR="00930AC1" w:rsidRPr="003A142A">
        <w:rPr>
          <w:rFonts w:cstheme="minorHAnsi"/>
          <w:sz w:val="24"/>
          <w:szCs w:val="24"/>
        </w:rPr>
        <w:t xml:space="preserve"> atitiktų jiems taikomus minimalius aplinkos apsaugos kriterijus (XIV skyrius „Patalpų apšvietimas“; XV skyrius „Vandens maišytuvai ir dušai“; XVI skyrius „Vandens šildytuvai“). Atsižvelgiant į tai, Tarnyba rekomenduoja papildyti Specialiosios dalies 8.10 punktą kitais su pastato projektu susijusiais produktais, kuriems būtų taikomi minimalūs aplinkos apsaugos kriterijai.</w:t>
      </w:r>
    </w:p>
    <w:p w14:paraId="11AA3570" w14:textId="2AFD65C3" w:rsidR="009A75A9" w:rsidRPr="003A142A" w:rsidRDefault="00930AC1" w:rsidP="00AB6038">
      <w:pPr>
        <w:pStyle w:val="Sraopastraipa"/>
        <w:numPr>
          <w:ilvl w:val="1"/>
          <w:numId w:val="4"/>
        </w:numPr>
        <w:tabs>
          <w:tab w:val="left" w:pos="567"/>
        </w:tabs>
        <w:spacing w:after="0" w:line="276" w:lineRule="auto"/>
        <w:ind w:left="0" w:firstLine="0"/>
        <w:rPr>
          <w:rFonts w:eastAsia="Times New Roman" w:cstheme="minorHAnsi"/>
          <w:sz w:val="24"/>
          <w:szCs w:val="24"/>
          <w:lang w:val="lt"/>
        </w:rPr>
      </w:pPr>
      <w:r w:rsidRPr="003A142A">
        <w:rPr>
          <w:rFonts w:cstheme="minorHAnsi"/>
          <w:sz w:val="24"/>
          <w:szCs w:val="24"/>
        </w:rPr>
        <w:t xml:space="preserve">Specialiosios dalies 8.11 punkte nurodyta, kad „Vykdydamas Sutartį Rangovas privalo užtikrinti, kad </w:t>
      </w:r>
      <w:r w:rsidRPr="003A142A">
        <w:rPr>
          <w:rFonts w:cstheme="minorHAnsi"/>
          <w:b/>
          <w:bCs/>
          <w:sz w:val="24"/>
          <w:szCs w:val="24"/>
        </w:rPr>
        <w:t>teikiamoms</w:t>
      </w:r>
      <w:r w:rsidRPr="003A142A">
        <w:rPr>
          <w:rFonts w:cstheme="minorHAnsi"/>
          <w:sz w:val="24"/>
          <w:szCs w:val="24"/>
        </w:rPr>
        <w:t xml:space="preserve"> </w:t>
      </w:r>
      <w:r w:rsidRPr="003A142A">
        <w:rPr>
          <w:rFonts w:cstheme="minorHAnsi"/>
          <w:b/>
          <w:bCs/>
          <w:sz w:val="24"/>
          <w:szCs w:val="24"/>
        </w:rPr>
        <w:t>projektavimo paslaugoms</w:t>
      </w:r>
      <w:r w:rsidRPr="003A142A">
        <w:rPr>
          <w:rFonts w:cstheme="minorHAnsi"/>
          <w:sz w:val="24"/>
          <w:szCs w:val="24"/>
        </w:rPr>
        <w:t xml:space="preserve"> ir atliekamiems </w:t>
      </w:r>
      <w:proofErr w:type="spellStart"/>
      <w:r w:rsidRPr="003A142A">
        <w:rPr>
          <w:rFonts w:cstheme="minorHAnsi"/>
          <w:sz w:val="24"/>
          <w:szCs w:val="24"/>
        </w:rPr>
        <w:t>bendrastatybiniams</w:t>
      </w:r>
      <w:proofErr w:type="spellEnd"/>
      <w:r w:rsidRPr="003A142A">
        <w:rPr>
          <w:rFonts w:cstheme="minorHAnsi"/>
          <w:sz w:val="24"/>
          <w:szCs w:val="24"/>
        </w:rPr>
        <w:t xml:space="preserve"> </w:t>
      </w:r>
      <w:r w:rsidRPr="003A142A">
        <w:rPr>
          <w:rFonts w:cstheme="minorHAnsi"/>
          <w:sz w:val="24"/>
          <w:szCs w:val="24"/>
        </w:rPr>
        <w:lastRenderedPageBreak/>
        <w:t xml:space="preserve">darbams taiko aplinkos apsaugos vadybos sistemos reikalavimus pagal standartą LST EN ISO 14001 arba EMAS ar kitus aplinkos apsaugos vadybos standartus, pagrįstus atitinkamais Europos arba tarptautinių standartizacijos organizacijų priimtais standartais. Jei </w:t>
      </w:r>
      <w:r w:rsidRPr="003A142A">
        <w:rPr>
          <w:rFonts w:cstheme="minorHAnsi"/>
          <w:b/>
          <w:bCs/>
          <w:sz w:val="24"/>
          <w:szCs w:val="24"/>
        </w:rPr>
        <w:t>tiekėjo turim</w:t>
      </w:r>
      <w:r w:rsidR="005E0A4F" w:rsidRPr="003A142A">
        <w:rPr>
          <w:rFonts w:cstheme="minorHAnsi"/>
          <w:b/>
          <w:bCs/>
          <w:sz w:val="24"/>
          <w:szCs w:val="24"/>
        </w:rPr>
        <w:t>o</w:t>
      </w:r>
      <w:r w:rsidRPr="003A142A">
        <w:rPr>
          <w:rFonts w:cstheme="minorHAnsi"/>
          <w:b/>
          <w:bCs/>
          <w:sz w:val="24"/>
          <w:szCs w:val="24"/>
        </w:rPr>
        <w:t xml:space="preserve"> sertifikato</w:t>
      </w:r>
      <w:r w:rsidRPr="003A142A">
        <w:rPr>
          <w:rFonts w:cstheme="minorHAnsi"/>
          <w:sz w:val="24"/>
          <w:szCs w:val="24"/>
        </w:rPr>
        <w:t xml:space="preserve"> galiojimas baigiasi iki darbų vykdymo laikotarpio pabaigos, tiekėjas privalės pratęsti turimą sertifikatą (įsigyti naują) ir pateikti jį perkančiajai organizacijai“. Pažymėtina, kad </w:t>
      </w:r>
      <w:r w:rsidR="009A75A9" w:rsidRPr="003A142A">
        <w:rPr>
          <w:rFonts w:cstheme="minorHAnsi"/>
          <w:sz w:val="24"/>
          <w:szCs w:val="24"/>
        </w:rPr>
        <w:t xml:space="preserve">galiojančioje Aprašo redakcijoje </w:t>
      </w:r>
      <w:r w:rsidR="009A75A9" w:rsidRPr="003A142A">
        <w:rPr>
          <w:rFonts w:cstheme="minorHAnsi"/>
          <w:b/>
          <w:bCs/>
          <w:sz w:val="24"/>
          <w:szCs w:val="24"/>
        </w:rPr>
        <w:t>nebeliko reikalavimo projektavimo paslaugoms</w:t>
      </w:r>
      <w:r w:rsidR="009A75A9" w:rsidRPr="003A142A">
        <w:rPr>
          <w:rFonts w:cstheme="minorHAnsi"/>
          <w:sz w:val="24"/>
          <w:szCs w:val="24"/>
        </w:rPr>
        <w:t xml:space="preserve"> taikyti aplinkos apsaugos vadybos sistemos reikalavimus, taip pat tok</w:t>
      </w:r>
      <w:r w:rsidR="00C0223E">
        <w:rPr>
          <w:rFonts w:cstheme="minorHAnsi"/>
          <w:sz w:val="24"/>
          <w:szCs w:val="24"/>
        </w:rPr>
        <w:t>s</w:t>
      </w:r>
      <w:r w:rsidR="009A75A9" w:rsidRPr="003A142A">
        <w:rPr>
          <w:rFonts w:cstheme="minorHAnsi"/>
          <w:sz w:val="24"/>
          <w:szCs w:val="24"/>
        </w:rPr>
        <w:t xml:space="preserve"> reikalavim</w:t>
      </w:r>
      <w:r w:rsidR="00C0223E">
        <w:rPr>
          <w:rFonts w:cstheme="minorHAnsi"/>
          <w:sz w:val="24"/>
          <w:szCs w:val="24"/>
        </w:rPr>
        <w:t>as</w:t>
      </w:r>
      <w:r w:rsidR="009A75A9" w:rsidRPr="003A142A">
        <w:rPr>
          <w:rFonts w:cstheme="minorHAnsi"/>
          <w:sz w:val="24"/>
          <w:szCs w:val="24"/>
        </w:rPr>
        <w:t xml:space="preserve"> nėra nu</w:t>
      </w:r>
      <w:r w:rsidR="00C0223E">
        <w:rPr>
          <w:rFonts w:cstheme="minorHAnsi"/>
          <w:sz w:val="24"/>
          <w:szCs w:val="24"/>
        </w:rPr>
        <w:t xml:space="preserve">statytas ir </w:t>
      </w:r>
      <w:r w:rsidR="009A75A9" w:rsidRPr="003A142A">
        <w:rPr>
          <w:rFonts w:cstheme="minorHAnsi"/>
          <w:sz w:val="24"/>
          <w:szCs w:val="24"/>
        </w:rPr>
        <w:t xml:space="preserve"> 6 priedo lentelėje „Vadybos sistemos reikalavimai“, todėl Tarnyba rekomenduoja </w:t>
      </w:r>
      <w:r w:rsidR="00C0223E">
        <w:rPr>
          <w:rFonts w:cstheme="minorHAnsi"/>
          <w:sz w:val="24"/>
          <w:szCs w:val="24"/>
        </w:rPr>
        <w:t xml:space="preserve">atsisakyti šios </w:t>
      </w:r>
      <w:r w:rsidR="009A75A9" w:rsidRPr="003A142A">
        <w:rPr>
          <w:rFonts w:cstheme="minorHAnsi"/>
          <w:sz w:val="24"/>
          <w:szCs w:val="24"/>
        </w:rPr>
        <w:t>sutarties vykdymo sąlyg</w:t>
      </w:r>
      <w:r w:rsidR="00C0223E">
        <w:rPr>
          <w:rFonts w:cstheme="minorHAnsi"/>
          <w:sz w:val="24"/>
          <w:szCs w:val="24"/>
        </w:rPr>
        <w:t>os</w:t>
      </w:r>
      <w:r w:rsidR="009A75A9" w:rsidRPr="003A142A">
        <w:rPr>
          <w:rFonts w:cstheme="minorHAnsi"/>
          <w:sz w:val="24"/>
          <w:szCs w:val="24"/>
        </w:rPr>
        <w:t xml:space="preserve">. </w:t>
      </w:r>
    </w:p>
    <w:p w14:paraId="42BA6012" w14:textId="1A8DE4F1" w:rsidR="00930AC1" w:rsidRPr="003A142A" w:rsidRDefault="009A75A9" w:rsidP="00966296">
      <w:pPr>
        <w:pStyle w:val="Sraopastraipa"/>
        <w:tabs>
          <w:tab w:val="left" w:pos="567"/>
        </w:tabs>
        <w:spacing w:after="0" w:line="276" w:lineRule="auto"/>
        <w:ind w:left="0"/>
        <w:rPr>
          <w:rFonts w:eastAsia="Times New Roman" w:cstheme="minorHAnsi"/>
          <w:sz w:val="24"/>
          <w:szCs w:val="24"/>
          <w:lang w:val="lt"/>
        </w:rPr>
      </w:pPr>
      <w:r w:rsidRPr="003A142A">
        <w:rPr>
          <w:rFonts w:cstheme="minorHAnsi"/>
          <w:sz w:val="24"/>
          <w:szCs w:val="24"/>
        </w:rPr>
        <w:t xml:space="preserve">Atkreiptinas dėmesys, kad Specialiosios dalies 8.11 punkte nustatyta tik tiekėjo turimo sertifikato tikrinimo </w:t>
      </w:r>
      <w:r w:rsidR="005E0A4F" w:rsidRPr="003A142A">
        <w:rPr>
          <w:rFonts w:cstheme="minorHAnsi"/>
          <w:sz w:val="24"/>
          <w:szCs w:val="24"/>
        </w:rPr>
        <w:t>sąlyga</w:t>
      </w:r>
      <w:r w:rsidRPr="003A142A">
        <w:rPr>
          <w:rFonts w:cstheme="minorHAnsi"/>
          <w:sz w:val="24"/>
          <w:szCs w:val="24"/>
        </w:rPr>
        <w:t xml:space="preserve">, tačiau neatsižvelgta į 6 priedo lentelės „Vadybos sistemos reikalavimai“ nurodytą galimybę tiekėjui </w:t>
      </w:r>
      <w:r w:rsidR="005E0A4F" w:rsidRPr="003A142A">
        <w:rPr>
          <w:rFonts w:cstheme="minorHAnsi"/>
          <w:sz w:val="24"/>
          <w:szCs w:val="24"/>
        </w:rPr>
        <w:t xml:space="preserve">vietoj sertifikato </w:t>
      </w:r>
      <w:r w:rsidRPr="003A142A">
        <w:rPr>
          <w:rFonts w:cstheme="minorHAnsi"/>
          <w:sz w:val="24"/>
          <w:szCs w:val="24"/>
        </w:rPr>
        <w:t>pateikti kitus lygiaverčių aplinkos apsaugos vadybos užtikrinimo priemonių įrodymus</w:t>
      </w:r>
      <w:r w:rsidR="005E0A4F" w:rsidRPr="003A142A">
        <w:rPr>
          <w:rFonts w:cstheme="minorHAnsi"/>
          <w:sz w:val="24"/>
          <w:szCs w:val="24"/>
        </w:rPr>
        <w:t xml:space="preserve">. Tarnyba rekomenduoja papildyti Specialiosios dalies 8.11 punktą kitų lygiaverčių aplinkos apsaugos vadybos užtikrinimo priemonių </w:t>
      </w:r>
      <w:r w:rsidR="00902AF5" w:rsidRPr="003A142A">
        <w:rPr>
          <w:rFonts w:cstheme="minorHAnsi"/>
          <w:sz w:val="24"/>
          <w:szCs w:val="24"/>
        </w:rPr>
        <w:t>(jei tiekėjas toki</w:t>
      </w:r>
      <w:r w:rsidR="00902AF5">
        <w:rPr>
          <w:rFonts w:cstheme="minorHAnsi"/>
          <w:sz w:val="24"/>
          <w:szCs w:val="24"/>
        </w:rPr>
        <w:t>a</w:t>
      </w:r>
      <w:r w:rsidR="00902AF5" w:rsidRPr="003A142A">
        <w:rPr>
          <w:rFonts w:cstheme="minorHAnsi"/>
          <w:sz w:val="24"/>
          <w:szCs w:val="24"/>
        </w:rPr>
        <w:t>s pateiktų)</w:t>
      </w:r>
      <w:r w:rsidR="00902AF5">
        <w:rPr>
          <w:rFonts w:cstheme="minorHAnsi"/>
          <w:sz w:val="24"/>
          <w:szCs w:val="24"/>
        </w:rPr>
        <w:t xml:space="preserve"> </w:t>
      </w:r>
      <w:r w:rsidR="005E0A4F" w:rsidRPr="003A142A">
        <w:rPr>
          <w:rFonts w:cstheme="minorHAnsi"/>
          <w:sz w:val="24"/>
          <w:szCs w:val="24"/>
        </w:rPr>
        <w:t>įrodymų  tikrinimo sąlygomis.</w:t>
      </w:r>
    </w:p>
    <w:p w14:paraId="0662D73A" w14:textId="77777777" w:rsidR="005A12AA" w:rsidRPr="003A142A" w:rsidRDefault="005A12AA" w:rsidP="00966296">
      <w:pPr>
        <w:spacing w:after="0" w:line="276" w:lineRule="auto"/>
        <w:rPr>
          <w:rFonts w:eastAsia="Times New Roman" w:cstheme="minorHAnsi"/>
          <w:sz w:val="24"/>
          <w:szCs w:val="24"/>
          <w:lang w:val="lt"/>
        </w:rPr>
      </w:pPr>
    </w:p>
    <w:p w14:paraId="20727D0A" w14:textId="2BEA4E10" w:rsidR="003176F1" w:rsidRPr="003A142A" w:rsidRDefault="003176F1" w:rsidP="00966296">
      <w:pPr>
        <w:pStyle w:val="paragraph"/>
        <w:spacing w:before="0" w:beforeAutospacing="0" w:after="0" w:afterAutospacing="0" w:line="276" w:lineRule="auto"/>
        <w:textAlignment w:val="baseline"/>
        <w:rPr>
          <w:rFonts w:asciiTheme="minorHAnsi" w:hAnsiTheme="minorHAnsi" w:cstheme="minorHAnsi"/>
        </w:rPr>
      </w:pPr>
      <w:r w:rsidRPr="003A142A">
        <w:rPr>
          <w:rStyle w:val="normaltextrun"/>
          <w:rFonts w:asciiTheme="minorHAnsi" w:hAnsiTheme="minorHAnsi" w:cstheme="minorHAnsi"/>
          <w:color w:val="000000"/>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w:t>
      </w:r>
      <w:r w:rsidRPr="003A142A">
        <w:rPr>
          <w:rStyle w:val="normaltextrun"/>
          <w:rFonts w:asciiTheme="minorHAnsi" w:hAnsiTheme="minorHAnsi" w:cstheme="minorHAnsi"/>
        </w:rPr>
        <w:t xml:space="preserve">prireikus pratęsti pasiūlymų pateikimo terminą protingam laikotarpiui, per kurį potencialūs tiekėjai galėtų susipažinti su patikslintais ir pakeistais Pirkimo dokumentais. </w:t>
      </w:r>
      <w:r w:rsidR="005E0A4F" w:rsidRPr="003A142A">
        <w:rPr>
          <w:rStyle w:val="normaltextrun"/>
          <w:rFonts w:asciiTheme="minorHAnsi" w:hAnsiTheme="minorHAnsi" w:cstheme="minorHAnsi"/>
          <w:color w:val="000000"/>
        </w:rPr>
        <w:t>Pažymėtina, kad visais atvejais sprendimą dėl tolimesnio Pirkimo procedūrų vykdymo ar nutraukimo priima pati Perkančioji organizacija, vadovaudamasi Įstatymo 29 straipsnio 3  ir 4  dalių nuostatomis.</w:t>
      </w:r>
    </w:p>
    <w:p w14:paraId="63339F07" w14:textId="77777777" w:rsidR="003176F1" w:rsidRPr="003A142A" w:rsidRDefault="003176F1" w:rsidP="00BF1B69">
      <w:pPr>
        <w:pStyle w:val="Sraopastraipa"/>
        <w:tabs>
          <w:tab w:val="left" w:pos="993"/>
        </w:tabs>
        <w:spacing w:after="0" w:line="276" w:lineRule="auto"/>
        <w:rPr>
          <w:rFonts w:eastAsia="Times New Roman" w:cstheme="minorHAnsi"/>
          <w:color w:val="000000" w:themeColor="text1"/>
          <w:sz w:val="24"/>
          <w:szCs w:val="24"/>
        </w:rPr>
      </w:pPr>
    </w:p>
    <w:p w14:paraId="2538EC99" w14:textId="77777777" w:rsidR="003176F1" w:rsidRPr="003A142A" w:rsidRDefault="003176F1" w:rsidP="00BF1B69">
      <w:pPr>
        <w:pStyle w:val="Sraopastraipa"/>
        <w:tabs>
          <w:tab w:val="left" w:pos="993"/>
        </w:tabs>
        <w:spacing w:after="0" w:line="276" w:lineRule="auto"/>
        <w:rPr>
          <w:rFonts w:eastAsia="Times New Roman" w:cstheme="minorHAnsi"/>
          <w:color w:val="000000" w:themeColor="text1"/>
          <w:sz w:val="24"/>
          <w:szCs w:val="24"/>
        </w:rPr>
      </w:pPr>
    </w:p>
    <w:p w14:paraId="2238F0F9" w14:textId="77777777" w:rsidR="00634D2D" w:rsidRPr="003A142A" w:rsidRDefault="00634D2D" w:rsidP="00966296">
      <w:pPr>
        <w:spacing w:after="0" w:line="276" w:lineRule="auto"/>
        <w:rPr>
          <w:rFonts w:eastAsia="Times New Roman" w:cstheme="minorHAnsi"/>
          <w:b/>
          <w:bCs/>
          <w:sz w:val="24"/>
          <w:szCs w:val="24"/>
        </w:rPr>
      </w:pPr>
    </w:p>
    <w:p w14:paraId="640AC2F4" w14:textId="77777777" w:rsidR="00634D2D" w:rsidRPr="003A142A" w:rsidRDefault="00634D2D" w:rsidP="003A142A">
      <w:pPr>
        <w:spacing w:after="0" w:line="276" w:lineRule="auto"/>
        <w:jc w:val="both"/>
        <w:rPr>
          <w:rFonts w:eastAsia="Times New Roman" w:cstheme="minorHAnsi"/>
          <w:b/>
          <w:bCs/>
          <w:sz w:val="24"/>
          <w:szCs w:val="24"/>
          <w:lang w:val="lt"/>
        </w:rPr>
      </w:pPr>
    </w:p>
    <w:p w14:paraId="131853B2" w14:textId="77777777" w:rsidR="00634D2D" w:rsidRPr="003A142A" w:rsidRDefault="00634D2D" w:rsidP="003A142A">
      <w:pPr>
        <w:spacing w:after="0" w:line="276" w:lineRule="auto"/>
        <w:jc w:val="both"/>
        <w:rPr>
          <w:rFonts w:eastAsia="Times New Roman" w:cstheme="minorHAnsi"/>
          <w:b/>
          <w:bCs/>
          <w:sz w:val="24"/>
          <w:szCs w:val="24"/>
          <w:lang w:val="lt"/>
        </w:rPr>
      </w:pPr>
    </w:p>
    <w:sectPr w:rsidR="00634D2D" w:rsidRPr="003A14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EE0D" w14:textId="77777777" w:rsidR="008A40F6" w:rsidRDefault="008A40F6" w:rsidP="000A1AF3">
      <w:pPr>
        <w:spacing w:after="0" w:line="240" w:lineRule="auto"/>
      </w:pPr>
      <w:r>
        <w:separator/>
      </w:r>
    </w:p>
  </w:endnote>
  <w:endnote w:type="continuationSeparator" w:id="0">
    <w:p w14:paraId="0CC3A98F" w14:textId="77777777" w:rsidR="008A40F6" w:rsidRDefault="008A40F6" w:rsidP="000A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C435" w14:textId="77777777" w:rsidR="008A40F6" w:rsidRDefault="008A40F6" w:rsidP="000A1AF3">
      <w:pPr>
        <w:spacing w:after="0" w:line="240" w:lineRule="auto"/>
      </w:pPr>
      <w:r>
        <w:separator/>
      </w:r>
    </w:p>
  </w:footnote>
  <w:footnote w:type="continuationSeparator" w:id="0">
    <w:p w14:paraId="020B87E4" w14:textId="77777777" w:rsidR="008A40F6" w:rsidRDefault="008A40F6" w:rsidP="000A1AF3">
      <w:pPr>
        <w:spacing w:after="0" w:line="240" w:lineRule="auto"/>
      </w:pPr>
      <w:r>
        <w:continuationSeparator/>
      </w:r>
    </w:p>
  </w:footnote>
  <w:footnote w:id="1">
    <w:p w14:paraId="37391B15" w14:textId="662B17FF" w:rsidR="009D6E2B" w:rsidRDefault="009D6E2B">
      <w:pPr>
        <w:pStyle w:val="Puslapioinaostekstas"/>
      </w:pPr>
      <w:r>
        <w:rPr>
          <w:rStyle w:val="Puslapioinaosnuoroda"/>
        </w:rPr>
        <w:footnoteRef/>
      </w:r>
      <w:r>
        <w:t xml:space="preserve"> </w:t>
      </w:r>
      <w:r w:rsidRPr="009D6E2B">
        <w:t xml:space="preserve">53.3. vadovų pareigos (viena ar kelios), kurias pareiškėjui suteikta teisė eiti Lietuvos Respublikoje, iš nurodytųjų Reglamento 2.1.1–2.1.20 papunkčiuose, </w:t>
      </w:r>
      <w:r w:rsidRPr="009D6E2B">
        <w:rPr>
          <w:b/>
          <w:bCs/>
        </w:rPr>
        <w:t>išskyrus</w:t>
      </w:r>
      <w:r w:rsidRPr="009D6E2B">
        <w:t xml:space="preserve"> ypatingojo ir neypatingojo statinio </w:t>
      </w:r>
      <w:r w:rsidRPr="009D6E2B">
        <w:rPr>
          <w:b/>
          <w:bCs/>
        </w:rPr>
        <w:t>projekto architektūrinės dalies vadovo</w:t>
      </w:r>
      <w:r w:rsidRPr="009D6E2B">
        <w:t xml:space="preserve"> pareigas, ypatingojo ir neypatingojo statinio projekto architektūrinės dalies vykdymo priežiūros dalies vadovo pareigas.</w:t>
      </w:r>
    </w:p>
  </w:footnote>
  <w:footnote w:id="2">
    <w:p w14:paraId="1DAEC06F" w14:textId="39BBB86D" w:rsidR="005A12AA" w:rsidRDefault="005A12AA">
      <w:pPr>
        <w:pStyle w:val="Puslapioinaostekstas"/>
      </w:pPr>
      <w:r>
        <w:rPr>
          <w:rStyle w:val="Puslapioinaosnuoroda"/>
        </w:rPr>
        <w:footnoteRef/>
      </w:r>
      <w:r>
        <w:t xml:space="preserve"> </w:t>
      </w:r>
      <w:hyperlink r:id="rId1" w:history="1">
        <w:r w:rsidRPr="005A12AA">
          <w:rPr>
            <w:rStyle w:val="Hipersaitas"/>
          </w:rPr>
          <w:t>Aplinkos apsaugos kriterijų taikymo, vykdant žaliuosius pirkimus, tvarkos aprašo</w:t>
        </w:r>
      </w:hyperlink>
      <w:r w:rsidRPr="005A12AA">
        <w:t xml:space="preserve"> </w:t>
      </w:r>
      <w:r w:rsidR="00CA7678">
        <w:t>(toliau -</w:t>
      </w:r>
      <w:r w:rsidR="00902AF5">
        <w:t xml:space="preserve"> </w:t>
      </w:r>
      <w:r w:rsidR="00CA7678">
        <w:t xml:space="preserve">Aprašas) </w:t>
      </w:r>
      <w:r w:rsidRPr="005A12AA">
        <w:t>15.2</w:t>
      </w:r>
      <w:r w:rsidR="00CA7678">
        <w:t xml:space="preserve"> p.</w:t>
      </w:r>
      <w:r w:rsidRPr="005A12AA">
        <w:t xml:space="preserve">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5A12AA">
        <w:rPr>
          <w:b/>
          <w:bCs/>
        </w:rPr>
        <w:t>lygiaverčiai įrodymai gali būti priimami atliekant supaprastintus pirkimus</w:t>
      </w:r>
      <w:r w:rsidRPr="005A12AA">
        <w:t xml:space="preserve">, </w:t>
      </w:r>
      <w:r w:rsidRPr="005A12AA">
        <w:rPr>
          <w:b/>
          <w:bCs/>
        </w:rPr>
        <w:t>kitų pirkimų atvejais</w:t>
      </w:r>
      <w:r w:rsidRPr="005A12AA">
        <w:t xml:space="preserve"> lygiaverčiai įrodymai priimami tik jeigu tiekėjas dėl nuo jo nepriklausančių objektyvių priežasčių negali pateikti sertifikatų per nustatytą laiką).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F25F"/>
    <w:multiLevelType w:val="hybridMultilevel"/>
    <w:tmpl w:val="D93A43D0"/>
    <w:lvl w:ilvl="0" w:tplc="D07242E2">
      <w:start w:val="1"/>
      <w:numFmt w:val="decimal"/>
      <w:lvlText w:val="%1."/>
      <w:lvlJc w:val="left"/>
      <w:pPr>
        <w:ind w:left="720" w:hanging="360"/>
      </w:pPr>
    </w:lvl>
    <w:lvl w:ilvl="1" w:tplc="5002C1E2">
      <w:start w:val="1"/>
      <w:numFmt w:val="lowerLetter"/>
      <w:lvlText w:val="%2."/>
      <w:lvlJc w:val="left"/>
      <w:pPr>
        <w:ind w:left="1440" w:hanging="360"/>
      </w:pPr>
    </w:lvl>
    <w:lvl w:ilvl="2" w:tplc="B720BA82">
      <w:start w:val="1"/>
      <w:numFmt w:val="lowerRoman"/>
      <w:lvlText w:val="%3."/>
      <w:lvlJc w:val="right"/>
      <w:pPr>
        <w:ind w:left="2160" w:hanging="180"/>
      </w:pPr>
    </w:lvl>
    <w:lvl w:ilvl="3" w:tplc="A0403844">
      <w:start w:val="1"/>
      <w:numFmt w:val="decimal"/>
      <w:lvlText w:val="%4."/>
      <w:lvlJc w:val="left"/>
      <w:pPr>
        <w:ind w:left="2880" w:hanging="360"/>
      </w:pPr>
    </w:lvl>
    <w:lvl w:ilvl="4" w:tplc="F3AEEE9C">
      <w:start w:val="1"/>
      <w:numFmt w:val="lowerLetter"/>
      <w:lvlText w:val="%5."/>
      <w:lvlJc w:val="left"/>
      <w:pPr>
        <w:ind w:left="3600" w:hanging="360"/>
      </w:pPr>
    </w:lvl>
    <w:lvl w:ilvl="5" w:tplc="7C68482C">
      <w:start w:val="1"/>
      <w:numFmt w:val="lowerRoman"/>
      <w:lvlText w:val="%6."/>
      <w:lvlJc w:val="right"/>
      <w:pPr>
        <w:ind w:left="4320" w:hanging="180"/>
      </w:pPr>
    </w:lvl>
    <w:lvl w:ilvl="6" w:tplc="102CDB18">
      <w:start w:val="1"/>
      <w:numFmt w:val="decimal"/>
      <w:lvlText w:val="%7."/>
      <w:lvlJc w:val="left"/>
      <w:pPr>
        <w:ind w:left="5040" w:hanging="360"/>
      </w:pPr>
    </w:lvl>
    <w:lvl w:ilvl="7" w:tplc="BF049C56">
      <w:start w:val="1"/>
      <w:numFmt w:val="lowerLetter"/>
      <w:lvlText w:val="%8."/>
      <w:lvlJc w:val="left"/>
      <w:pPr>
        <w:ind w:left="5760" w:hanging="360"/>
      </w:pPr>
    </w:lvl>
    <w:lvl w:ilvl="8" w:tplc="12189E9A">
      <w:start w:val="1"/>
      <w:numFmt w:val="lowerRoman"/>
      <w:lvlText w:val="%9."/>
      <w:lvlJc w:val="right"/>
      <w:pPr>
        <w:ind w:left="6480" w:hanging="180"/>
      </w:pPr>
    </w:lvl>
  </w:abstractNum>
  <w:abstractNum w:abstractNumId="1" w15:restartNumberingAfterBreak="0">
    <w:nsid w:val="401101DF"/>
    <w:multiLevelType w:val="multilevel"/>
    <w:tmpl w:val="26DAC100"/>
    <w:lvl w:ilvl="0">
      <w:start w:val="1"/>
      <w:numFmt w:val="decimal"/>
      <w:lvlText w:val="%1."/>
      <w:lvlJc w:val="left"/>
      <w:pPr>
        <w:ind w:left="185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294" w:hanging="720"/>
      </w:pPr>
      <w:rPr>
        <w:rFonts w:hint="default"/>
      </w:rPr>
    </w:lvl>
    <w:lvl w:ilvl="4">
      <w:start w:val="1"/>
      <w:numFmt w:val="decimal"/>
      <w:isLgl/>
      <w:lvlText w:val="%1.%2.%3.%4.%5."/>
      <w:lvlJc w:val="left"/>
      <w:pPr>
        <w:ind w:left="4014" w:hanging="1080"/>
      </w:pPr>
      <w:rPr>
        <w:rFonts w:hint="default"/>
      </w:rPr>
    </w:lvl>
    <w:lvl w:ilvl="5">
      <w:start w:val="1"/>
      <w:numFmt w:val="decimal"/>
      <w:isLgl/>
      <w:lvlText w:val="%1.%2.%3.%4.%5.%6."/>
      <w:lvlJc w:val="left"/>
      <w:pPr>
        <w:ind w:left="4374"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454" w:hanging="1440"/>
      </w:pPr>
      <w:rPr>
        <w:rFonts w:hint="default"/>
      </w:rPr>
    </w:lvl>
    <w:lvl w:ilvl="8">
      <w:start w:val="1"/>
      <w:numFmt w:val="decimal"/>
      <w:isLgl/>
      <w:lvlText w:val="%1.%2.%3.%4.%5.%6.%7.%8.%9."/>
      <w:lvlJc w:val="left"/>
      <w:pPr>
        <w:ind w:left="6174" w:hanging="1800"/>
      </w:pPr>
      <w:rPr>
        <w:rFonts w:hint="default"/>
      </w:rPr>
    </w:lvl>
  </w:abstractNum>
  <w:abstractNum w:abstractNumId="2" w15:restartNumberingAfterBreak="0">
    <w:nsid w:val="5B494D31"/>
    <w:multiLevelType w:val="multilevel"/>
    <w:tmpl w:val="BBFE72A4"/>
    <w:lvl w:ilvl="0">
      <w:start w:val="1"/>
      <w:numFmt w:val="decimal"/>
      <w:lvlText w:val="%1."/>
      <w:lvlJc w:val="left"/>
      <w:pPr>
        <w:ind w:left="1070" w:hanging="360"/>
      </w:pPr>
      <w:rPr>
        <w:rFonts w:hint="default"/>
      </w:rPr>
    </w:lvl>
    <w:lvl w:ilvl="1">
      <w:start w:val="1"/>
      <w:numFmt w:val="decimal"/>
      <w:isLgl/>
      <w:lvlText w:val="%1.%2."/>
      <w:lvlJc w:val="left"/>
      <w:pPr>
        <w:ind w:left="1637"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A35A3B"/>
    <w:multiLevelType w:val="hybridMultilevel"/>
    <w:tmpl w:val="85F447C4"/>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936513">
    <w:abstractNumId w:val="0"/>
  </w:num>
  <w:num w:numId="2" w16cid:durableId="1430200776">
    <w:abstractNumId w:val="1"/>
  </w:num>
  <w:num w:numId="3" w16cid:durableId="945039715">
    <w:abstractNumId w:val="3"/>
  </w:num>
  <w:num w:numId="4" w16cid:durableId="333606844">
    <w:abstractNumId w:val="2"/>
  </w:num>
  <w:num w:numId="5" w16cid:durableId="348482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DE"/>
    <w:rsid w:val="000231AE"/>
    <w:rsid w:val="0003158C"/>
    <w:rsid w:val="000471B3"/>
    <w:rsid w:val="00051668"/>
    <w:rsid w:val="00053987"/>
    <w:rsid w:val="00091A24"/>
    <w:rsid w:val="000A1AF3"/>
    <w:rsid w:val="000E1B92"/>
    <w:rsid w:val="000F4B37"/>
    <w:rsid w:val="00103736"/>
    <w:rsid w:val="001818A1"/>
    <w:rsid w:val="0018588F"/>
    <w:rsid w:val="001A3E72"/>
    <w:rsid w:val="001C761C"/>
    <w:rsid w:val="001E0BCB"/>
    <w:rsid w:val="001F0A58"/>
    <w:rsid w:val="001F1338"/>
    <w:rsid w:val="002065BF"/>
    <w:rsid w:val="0021151C"/>
    <w:rsid w:val="002649C0"/>
    <w:rsid w:val="00292963"/>
    <w:rsid w:val="002A1011"/>
    <w:rsid w:val="002A798F"/>
    <w:rsid w:val="002B2CC1"/>
    <w:rsid w:val="002E2183"/>
    <w:rsid w:val="003176F1"/>
    <w:rsid w:val="00373A33"/>
    <w:rsid w:val="003A142A"/>
    <w:rsid w:val="003B685A"/>
    <w:rsid w:val="00404CA8"/>
    <w:rsid w:val="00431A18"/>
    <w:rsid w:val="004A5E7C"/>
    <w:rsid w:val="004B09C2"/>
    <w:rsid w:val="00547FE8"/>
    <w:rsid w:val="00566B4F"/>
    <w:rsid w:val="005A0925"/>
    <w:rsid w:val="005A12AA"/>
    <w:rsid w:val="005A3471"/>
    <w:rsid w:val="005A46FB"/>
    <w:rsid w:val="005C0101"/>
    <w:rsid w:val="005E0A4F"/>
    <w:rsid w:val="005E4E9B"/>
    <w:rsid w:val="005F6BBB"/>
    <w:rsid w:val="00634D2D"/>
    <w:rsid w:val="0064393D"/>
    <w:rsid w:val="00666716"/>
    <w:rsid w:val="00673538"/>
    <w:rsid w:val="006A19BD"/>
    <w:rsid w:val="006D0834"/>
    <w:rsid w:val="006D2827"/>
    <w:rsid w:val="006D315B"/>
    <w:rsid w:val="006F2DB3"/>
    <w:rsid w:val="007064EC"/>
    <w:rsid w:val="00746E73"/>
    <w:rsid w:val="007D54CB"/>
    <w:rsid w:val="007F65AD"/>
    <w:rsid w:val="008376E3"/>
    <w:rsid w:val="008A40F6"/>
    <w:rsid w:val="008F3ED2"/>
    <w:rsid w:val="00902AF5"/>
    <w:rsid w:val="00930AC1"/>
    <w:rsid w:val="00966296"/>
    <w:rsid w:val="009744EB"/>
    <w:rsid w:val="009A75A9"/>
    <w:rsid w:val="009D2687"/>
    <w:rsid w:val="009D6E2B"/>
    <w:rsid w:val="009F0F51"/>
    <w:rsid w:val="00A02CE3"/>
    <w:rsid w:val="00A4452C"/>
    <w:rsid w:val="00A52C35"/>
    <w:rsid w:val="00A839DE"/>
    <w:rsid w:val="00AB6038"/>
    <w:rsid w:val="00AB7D61"/>
    <w:rsid w:val="00AD0D88"/>
    <w:rsid w:val="00AE1E9F"/>
    <w:rsid w:val="00B00092"/>
    <w:rsid w:val="00B033BB"/>
    <w:rsid w:val="00B06586"/>
    <w:rsid w:val="00B71857"/>
    <w:rsid w:val="00BA45DF"/>
    <w:rsid w:val="00BB0AC5"/>
    <w:rsid w:val="00BF1B69"/>
    <w:rsid w:val="00C0223E"/>
    <w:rsid w:val="00C35D92"/>
    <w:rsid w:val="00CA7678"/>
    <w:rsid w:val="00CB1176"/>
    <w:rsid w:val="00CB3FDD"/>
    <w:rsid w:val="00CC4360"/>
    <w:rsid w:val="00D429CD"/>
    <w:rsid w:val="00D64E2E"/>
    <w:rsid w:val="00D7496F"/>
    <w:rsid w:val="00D81D99"/>
    <w:rsid w:val="00D81F8E"/>
    <w:rsid w:val="00DC44D9"/>
    <w:rsid w:val="00DE36A1"/>
    <w:rsid w:val="00DE4F04"/>
    <w:rsid w:val="00DF5DEA"/>
    <w:rsid w:val="00E27907"/>
    <w:rsid w:val="00E51F64"/>
    <w:rsid w:val="00E860DE"/>
    <w:rsid w:val="00E86CE2"/>
    <w:rsid w:val="00E87928"/>
    <w:rsid w:val="00E92B37"/>
    <w:rsid w:val="00E92DF0"/>
    <w:rsid w:val="00EA41A6"/>
    <w:rsid w:val="00EE3142"/>
    <w:rsid w:val="00F40DA3"/>
    <w:rsid w:val="00F82076"/>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82F0"/>
  <w15:chartTrackingRefBased/>
  <w15:docId w15:val="{732CA76F-5E40-488F-94E5-E317BD50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39DE"/>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86CE2"/>
    <w:rPr>
      <w:color w:val="0563C1" w:themeColor="hyperlink"/>
      <w:u w:val="single"/>
    </w:rPr>
  </w:style>
  <w:style w:type="character" w:customStyle="1" w:styleId="normaltextrun">
    <w:name w:val="normaltextrun"/>
    <w:basedOn w:val="Numatytasispastraiposriftas"/>
    <w:rsid w:val="00E86CE2"/>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qFormat/>
    <w:rsid w:val="005C0101"/>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5C0101"/>
    <w:rPr>
      <w:kern w:val="0"/>
      <w:lang w:val="lt-LT"/>
      <w14:ligatures w14: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A1AF3"/>
    <w:pPr>
      <w:spacing w:after="0" w:line="240" w:lineRule="auto"/>
    </w:pPr>
    <w:rPr>
      <w:rFonts w:ascii="Calibri" w:hAnsi="Calibri" w:cs="Calibri"/>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0A1AF3"/>
    <w:rPr>
      <w:rFonts w:ascii="Calibri" w:hAnsi="Calibri" w:cs="Calibri"/>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0A1AF3"/>
    <w:rPr>
      <w:vertAlign w:val="superscript"/>
    </w:rPr>
  </w:style>
  <w:style w:type="paragraph" w:customStyle="1" w:styleId="Stilius3">
    <w:name w:val="Stilius3"/>
    <w:basedOn w:val="prastasis"/>
    <w:qFormat/>
    <w:rsid w:val="0018588F"/>
    <w:pPr>
      <w:spacing w:before="200" w:after="0" w:line="240" w:lineRule="auto"/>
      <w:jc w:val="both"/>
    </w:pPr>
    <w:rPr>
      <w:rFonts w:ascii="Times New Roman" w:eastAsia="Times New Roman" w:hAnsi="Times New Roman" w:cs="Times New Roman"/>
    </w:rPr>
  </w:style>
  <w:style w:type="character" w:customStyle="1" w:styleId="findhit">
    <w:name w:val="findhit"/>
    <w:basedOn w:val="Numatytasispastraiposriftas"/>
    <w:rsid w:val="00634D2D"/>
  </w:style>
  <w:style w:type="character" w:customStyle="1" w:styleId="eop">
    <w:name w:val="eop"/>
    <w:basedOn w:val="Numatytasispastraiposriftas"/>
    <w:rsid w:val="00634D2D"/>
  </w:style>
  <w:style w:type="paragraph" w:customStyle="1" w:styleId="paragraph">
    <w:name w:val="paragraph"/>
    <w:basedOn w:val="prastasis"/>
    <w:rsid w:val="00634D2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5E4E9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4E9B"/>
    <w:rPr>
      <w:sz w:val="16"/>
      <w:szCs w:val="16"/>
    </w:rPr>
  </w:style>
  <w:style w:type="paragraph" w:styleId="Komentarotekstas">
    <w:name w:val="annotation text"/>
    <w:basedOn w:val="prastasis"/>
    <w:link w:val="KomentarotekstasDiagrama"/>
    <w:uiPriority w:val="99"/>
    <w:semiHidden/>
    <w:unhideWhenUsed/>
    <w:rsid w:val="005E4E9B"/>
    <w:pPr>
      <w:pBdr>
        <w:top w:val="nil"/>
        <w:left w:val="nil"/>
        <w:bottom w:val="nil"/>
        <w:right w:val="nil"/>
        <w:between w:val="nil"/>
        <w:bar w:val="nil"/>
      </w:pBdr>
      <w:spacing w:after="0" w:line="240" w:lineRule="auto"/>
      <w:jc w:val="both"/>
    </w:pPr>
    <w:rPr>
      <w:rFonts w:ascii="Times New Roman" w:eastAsia="Arial Unicode MS" w:hAnsi="Times New Roman" w:cs="Times New Roman"/>
      <w:sz w:val="20"/>
      <w:szCs w:val="20"/>
      <w:bdr w:val="nil"/>
    </w:rPr>
  </w:style>
  <w:style w:type="character" w:customStyle="1" w:styleId="KomentarotekstasDiagrama">
    <w:name w:val="Komentaro tekstas Diagrama"/>
    <w:basedOn w:val="Numatytasispastraiposriftas"/>
    <w:link w:val="Komentarotekstas"/>
    <w:uiPriority w:val="99"/>
    <w:semiHidden/>
    <w:rsid w:val="005E4E9B"/>
    <w:rPr>
      <w:rFonts w:ascii="Times New Roman" w:eastAsia="Arial Unicode MS" w:hAnsi="Times New Roman" w:cs="Times New Roman"/>
      <w:kern w:val="0"/>
      <w:sz w:val="20"/>
      <w:szCs w:val="20"/>
      <w:bdr w:val="nil"/>
      <w:lang w:val="lt-LT"/>
      <w14:ligatures w14:val="none"/>
    </w:rPr>
  </w:style>
  <w:style w:type="character" w:styleId="Perirtashipersaitas">
    <w:name w:val="FollowedHyperlink"/>
    <w:basedOn w:val="Numatytasispastraiposriftas"/>
    <w:uiPriority w:val="99"/>
    <w:semiHidden/>
    <w:unhideWhenUsed/>
    <w:rsid w:val="00AB7D61"/>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64393D"/>
    <w:pPr>
      <w:pBdr>
        <w:top w:val="none" w:sz="0" w:space="0" w:color="auto"/>
        <w:left w:val="none" w:sz="0" w:space="0" w:color="auto"/>
        <w:bottom w:val="none" w:sz="0" w:space="0" w:color="auto"/>
        <w:right w:val="none" w:sz="0" w:space="0" w:color="auto"/>
        <w:between w:val="none" w:sz="0" w:space="0" w:color="auto"/>
        <w:bar w:val="none" w:sz="0" w:color="auto"/>
      </w:pBdr>
      <w:spacing w:after="160"/>
      <w:jc w:val="left"/>
    </w:pPr>
    <w:rPr>
      <w:rFonts w:asciiTheme="minorHAnsi" w:eastAsiaTheme="minorHAnsi" w:hAnsiTheme="minorHAnsi" w:cstheme="minorBidi"/>
      <w:b/>
      <w:bCs/>
      <w:bdr w:val="none" w:sz="0" w:space="0" w:color="auto"/>
    </w:rPr>
  </w:style>
  <w:style w:type="character" w:customStyle="1" w:styleId="KomentarotemaDiagrama">
    <w:name w:val="Komentaro tema Diagrama"/>
    <w:basedOn w:val="KomentarotekstasDiagrama"/>
    <w:link w:val="Komentarotema"/>
    <w:uiPriority w:val="99"/>
    <w:semiHidden/>
    <w:rsid w:val="0064393D"/>
    <w:rPr>
      <w:rFonts w:ascii="Times New Roman" w:eastAsia="Arial Unicode MS" w:hAnsi="Times New Roman" w:cs="Times New Roman"/>
      <w:b/>
      <w:bCs/>
      <w:kern w:val="0"/>
      <w:sz w:val="20"/>
      <w:szCs w:val="20"/>
      <w:bdr w:val="nil"/>
      <w:lang w:val="lt-LT"/>
      <w14:ligatures w14:val="none"/>
    </w:rPr>
  </w:style>
  <w:style w:type="paragraph" w:styleId="Pataisymai">
    <w:name w:val="Revision"/>
    <w:hidden/>
    <w:uiPriority w:val="99"/>
    <w:semiHidden/>
    <w:rsid w:val="00F40DA3"/>
    <w:pPr>
      <w:spacing w:after="0" w:line="240" w:lineRule="auto"/>
    </w:pPr>
    <w:rPr>
      <w:kern w:val="0"/>
      <w:lang w:val="lt-LT"/>
      <w14:ligatures w14:val="none"/>
    </w:rPr>
  </w:style>
  <w:style w:type="character" w:styleId="Neapdorotaspaminjimas">
    <w:name w:val="Unresolved Mention"/>
    <w:basedOn w:val="Numatytasispastraiposriftas"/>
    <w:uiPriority w:val="99"/>
    <w:semiHidden/>
    <w:unhideWhenUsed/>
    <w:rsid w:val="0097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96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864a5b10c05211e6a3e9de0fc8d85cd8/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9018B-4F46-4C83-AF59-A40BB97E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6707</Words>
  <Characters>3823</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Laimutė Ramanauskienė</cp:lastModifiedBy>
  <cp:revision>19</cp:revision>
  <dcterms:created xsi:type="dcterms:W3CDTF">2024-02-22T13:25:00Z</dcterms:created>
  <dcterms:modified xsi:type="dcterms:W3CDTF">2024-03-05T15:25:00Z</dcterms:modified>
</cp:coreProperties>
</file>