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6458" w14:textId="77777777" w:rsidR="00FF7BCE" w:rsidRPr="008A40AF" w:rsidRDefault="00FF7BCE" w:rsidP="008A40AF">
      <w:pPr>
        <w:spacing w:line="276" w:lineRule="auto"/>
        <w:rPr>
          <w:rFonts w:cs="Calibri"/>
          <w:sz w:val="24"/>
          <w:szCs w:val="24"/>
          <w:lang w:val="lt-LT"/>
        </w:rPr>
      </w:pPr>
      <w:r w:rsidRPr="008A40AF">
        <w:rPr>
          <w:rFonts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6F675231" w14:textId="1FDEDC7E" w:rsidR="00FF7BCE" w:rsidRPr="008A40AF" w:rsidRDefault="00FF7BCE" w:rsidP="008A40AF">
      <w:pPr>
        <w:shd w:val="clear" w:color="auto" w:fill="FFFFFF"/>
        <w:spacing w:after="0" w:line="276" w:lineRule="auto"/>
        <w:rPr>
          <w:rFonts w:eastAsia="Times New Roman" w:cs="Calibri"/>
          <w:color w:val="333333"/>
          <w:kern w:val="0"/>
          <w:sz w:val="24"/>
          <w:szCs w:val="24"/>
          <w14:ligatures w14:val="none"/>
        </w:rPr>
      </w:pPr>
      <w:r w:rsidRPr="008A40AF">
        <w:rPr>
          <w:rFonts w:cs="Calibri"/>
          <w:sz w:val="24"/>
          <w:szCs w:val="24"/>
          <w:lang w:val="lt-LT"/>
        </w:rPr>
        <w:t xml:space="preserve">Vadovaujantis Tarnybai Įstatyme nustatyta pažeidimų prevencijos funkcija, šiuo metu atliekama </w:t>
      </w:r>
      <w:r w:rsidR="00621927" w:rsidRPr="008A40AF">
        <w:rPr>
          <w:rFonts w:cs="Calibri"/>
          <w:b/>
          <w:bCs/>
          <w:sz w:val="24"/>
          <w:szCs w:val="24"/>
          <w:lang w:val="lt-LT"/>
        </w:rPr>
        <w:t>Rase</w:t>
      </w:r>
      <w:r w:rsidR="00993A2D" w:rsidRPr="008A40AF">
        <w:rPr>
          <w:rFonts w:cs="Calibri"/>
          <w:b/>
          <w:bCs/>
          <w:sz w:val="24"/>
          <w:szCs w:val="24"/>
          <w:lang w:val="lt-LT"/>
        </w:rPr>
        <w:t>inių rajono savivaldybės administracij</w:t>
      </w:r>
      <w:r w:rsidR="00A44F84">
        <w:rPr>
          <w:rFonts w:cs="Calibri"/>
          <w:b/>
          <w:bCs/>
          <w:sz w:val="24"/>
          <w:szCs w:val="24"/>
          <w:lang w:val="lt-LT"/>
        </w:rPr>
        <w:t>os</w:t>
      </w:r>
      <w:r w:rsidRPr="008A40AF">
        <w:rPr>
          <w:rFonts w:cs="Calibri"/>
          <w:b/>
          <w:bCs/>
          <w:sz w:val="24"/>
          <w:szCs w:val="24"/>
          <w:lang w:val="lt-LT"/>
        </w:rPr>
        <w:t xml:space="preserve"> </w:t>
      </w:r>
      <w:r w:rsidRPr="008A40AF">
        <w:rPr>
          <w:rFonts w:cs="Calibri"/>
          <w:sz w:val="24"/>
          <w:szCs w:val="24"/>
          <w:lang w:val="lt-LT"/>
        </w:rPr>
        <w:t>(toliau – Perkančioji organizacija) vykdomo pirkimo Nr.</w:t>
      </w:r>
      <w:r w:rsidRPr="008A40AF">
        <w:rPr>
          <w:rFonts w:cs="Calibri"/>
          <w:b/>
          <w:bCs/>
          <w:sz w:val="24"/>
          <w:szCs w:val="24"/>
          <w:lang w:val="lt-LT"/>
        </w:rPr>
        <w:t xml:space="preserve"> </w:t>
      </w:r>
      <w:r w:rsidR="00E166FA" w:rsidRPr="008A40AF">
        <w:rPr>
          <w:rFonts w:cs="Calibri"/>
          <w:b/>
          <w:bCs/>
          <w:sz w:val="24"/>
          <w:szCs w:val="24"/>
          <w:lang w:val="lt-LT"/>
        </w:rPr>
        <w:t>710577</w:t>
      </w:r>
      <w:r w:rsidRPr="008A40AF">
        <w:rPr>
          <w:rFonts w:cs="Calibri"/>
          <w:b/>
          <w:bCs/>
          <w:sz w:val="24"/>
          <w:szCs w:val="24"/>
          <w:lang w:val="lt-LT"/>
        </w:rPr>
        <w:t xml:space="preserve"> „</w:t>
      </w:r>
      <w:r w:rsidR="005122E3" w:rsidRPr="008A40AF">
        <w:rPr>
          <w:rFonts w:eastAsia="Times New Roman" w:cs="Calibri"/>
          <w:b/>
          <w:bCs/>
          <w:color w:val="333333"/>
          <w:kern w:val="0"/>
          <w:sz w:val="24"/>
          <w:szCs w:val="24"/>
          <w14:ligatures w14:val="none"/>
        </w:rPr>
        <w:t>Raseinių r. sav. seniūnijų kelių ir gatvių su žvyro ir grunto danga profiliavimo darbai</w:t>
      </w:r>
      <w:r w:rsidRPr="008A40AF">
        <w:rPr>
          <w:rFonts w:cs="Calibri"/>
          <w:b/>
          <w:bCs/>
          <w:sz w:val="24"/>
          <w:szCs w:val="24"/>
          <w:lang w:val="lt-LT"/>
        </w:rPr>
        <w:t>“</w:t>
      </w:r>
      <w:r w:rsidRPr="008A40AF">
        <w:rPr>
          <w:rFonts w:cs="Calibri"/>
          <w:sz w:val="24"/>
          <w:szCs w:val="24"/>
          <w:lang w:val="lt-LT"/>
        </w:rPr>
        <w:t xml:space="preserve"> (toliau – Pirkimas) dokumentų atitikties Įstatymui ir su jo įgyvendinimu susijusiems teisės aktams peržiūra (peržiūra prevenciniais tikslais atliekama tam tikra apimtimi). </w:t>
      </w:r>
    </w:p>
    <w:p w14:paraId="69C913EA" w14:textId="77777777" w:rsidR="00FF7BCE" w:rsidRPr="008A40AF" w:rsidRDefault="00FF7BCE" w:rsidP="008A40AF">
      <w:pPr>
        <w:spacing w:line="276" w:lineRule="auto"/>
        <w:rPr>
          <w:rFonts w:cs="Calibri"/>
          <w:sz w:val="24"/>
          <w:szCs w:val="24"/>
          <w:lang w:val="lt-LT"/>
        </w:rPr>
      </w:pPr>
      <w:r w:rsidRPr="008A40AF">
        <w:rPr>
          <w:rFonts w:cs="Calibri"/>
          <w:sz w:val="24"/>
          <w:szCs w:val="24"/>
          <w:lang w:val="lt-LT"/>
        </w:rPr>
        <w:t>Tarnyba, prevencine tvarka peržiūrėjusi Pirkimų dokumentus, teikia pastabas ir rekomendacijas (toliau – Rekomendacija) dėl Pirkimo dokumentų nuostatų.</w:t>
      </w:r>
    </w:p>
    <w:p w14:paraId="43C2E1BB" w14:textId="1D3EAF08" w:rsidR="00D132D6" w:rsidRPr="008A40AF" w:rsidRDefault="00240900" w:rsidP="00240900">
      <w:pPr>
        <w:tabs>
          <w:tab w:val="left" w:pos="993"/>
        </w:tabs>
        <w:spacing w:after="0" w:line="240" w:lineRule="auto"/>
        <w:jc w:val="both"/>
        <w:rPr>
          <w:rFonts w:asciiTheme="minorHAnsi" w:hAnsiTheme="minorHAnsi" w:cstheme="minorHAnsi"/>
          <w:sz w:val="24"/>
          <w:szCs w:val="24"/>
        </w:rPr>
      </w:pPr>
      <w:r>
        <w:rPr>
          <w:rFonts w:eastAsia="Times New Roman" w:cs="Calibri"/>
          <w:color w:val="333333"/>
          <w:sz w:val="24"/>
          <w:szCs w:val="24"/>
        </w:rPr>
        <w:t xml:space="preserve">  </w:t>
      </w:r>
      <w:r w:rsidR="007408FF" w:rsidRPr="008A40AF">
        <w:rPr>
          <w:rFonts w:eastAsia="Times New Roman" w:cs="Calibri"/>
          <w:color w:val="333333"/>
          <w:sz w:val="24"/>
          <w:szCs w:val="24"/>
        </w:rPr>
        <w:t xml:space="preserve">  </w:t>
      </w:r>
      <w:r w:rsidR="00276DEB" w:rsidRPr="008A40AF">
        <w:rPr>
          <w:rFonts w:eastAsia="Times New Roman" w:cs="Calibri"/>
          <w:b/>
          <w:bCs/>
          <w:color w:val="333333"/>
          <w:sz w:val="24"/>
          <w:szCs w:val="24"/>
        </w:rPr>
        <w:t>1.</w:t>
      </w:r>
      <w:r w:rsidR="00276DEB" w:rsidRPr="008A40AF">
        <w:rPr>
          <w:rFonts w:eastAsia="Times New Roman" w:cs="Calibri"/>
          <w:color w:val="333333"/>
          <w:sz w:val="24"/>
          <w:szCs w:val="24"/>
        </w:rPr>
        <w:t xml:space="preserve"> </w:t>
      </w:r>
      <w:r w:rsidR="001022BE" w:rsidRPr="008A40AF">
        <w:rPr>
          <w:rFonts w:eastAsia="Times New Roman" w:cs="Calibri"/>
          <w:color w:val="333333"/>
          <w:sz w:val="24"/>
          <w:szCs w:val="24"/>
        </w:rPr>
        <w:t xml:space="preserve">Skelbimo </w:t>
      </w:r>
      <w:r w:rsidR="007A5D2F" w:rsidRPr="008A40AF">
        <w:rPr>
          <w:rFonts w:eastAsia="Times New Roman" w:cs="Calibri"/>
          <w:color w:val="333333"/>
          <w:sz w:val="24"/>
          <w:szCs w:val="24"/>
        </w:rPr>
        <w:t xml:space="preserve">apie Pirkimą </w:t>
      </w:r>
      <w:r w:rsidR="00B0100B" w:rsidRPr="008A40AF">
        <w:rPr>
          <w:rFonts w:eastAsia="Times New Roman" w:cs="Calibri"/>
          <w:color w:val="333333"/>
          <w:sz w:val="24"/>
          <w:szCs w:val="24"/>
        </w:rPr>
        <w:t>II.2.7 skiltyje nu</w:t>
      </w:r>
      <w:r w:rsidR="008A082A">
        <w:rPr>
          <w:rFonts w:eastAsia="Times New Roman" w:cs="Calibri"/>
          <w:color w:val="333333"/>
          <w:sz w:val="24"/>
          <w:szCs w:val="24"/>
        </w:rPr>
        <w:t>statyta</w:t>
      </w:r>
      <w:r w:rsidR="00D26B7B" w:rsidRPr="008A40AF">
        <w:rPr>
          <w:rFonts w:eastAsia="Times New Roman" w:cs="Calibri"/>
          <w:color w:val="333333"/>
          <w:sz w:val="24"/>
          <w:szCs w:val="24"/>
        </w:rPr>
        <w:t>, kad</w:t>
      </w:r>
      <w:r w:rsidR="00B0100B" w:rsidRPr="008A40AF">
        <w:rPr>
          <w:rFonts w:eastAsia="Times New Roman" w:cs="Calibri"/>
          <w:color w:val="333333"/>
          <w:sz w:val="24"/>
          <w:szCs w:val="24"/>
        </w:rPr>
        <w:t xml:space="preserve"> sutarties termimas </w:t>
      </w:r>
      <w:r w:rsidR="00B0100B" w:rsidRPr="008A40AF">
        <w:rPr>
          <w:rFonts w:eastAsia="Times New Roman" w:cs="Calibri"/>
          <w:b/>
          <w:bCs/>
          <w:color w:val="333333"/>
          <w:sz w:val="24"/>
          <w:szCs w:val="24"/>
        </w:rPr>
        <w:t>21 mėn</w:t>
      </w:r>
      <w:r w:rsidR="00717102" w:rsidRPr="008A40AF">
        <w:rPr>
          <w:rFonts w:eastAsia="Times New Roman" w:cs="Calibri"/>
          <w:b/>
          <w:bCs/>
          <w:color w:val="333333"/>
          <w:sz w:val="24"/>
          <w:szCs w:val="24"/>
        </w:rPr>
        <w:t>uo</w:t>
      </w:r>
      <w:r w:rsidR="009501F2" w:rsidRPr="008A40AF">
        <w:rPr>
          <w:rFonts w:eastAsia="Times New Roman" w:cs="Calibri"/>
          <w:color w:val="333333"/>
          <w:sz w:val="24"/>
          <w:szCs w:val="24"/>
        </w:rPr>
        <w:t>, pratęsimo galimybė nenu</w:t>
      </w:r>
      <w:r w:rsidR="004445CB" w:rsidRPr="008A40AF">
        <w:rPr>
          <w:rFonts w:eastAsia="Times New Roman" w:cs="Calibri"/>
          <w:color w:val="333333"/>
          <w:sz w:val="24"/>
          <w:szCs w:val="24"/>
        </w:rPr>
        <w:t>m</w:t>
      </w:r>
      <w:r w:rsidR="009501F2" w:rsidRPr="008A40AF">
        <w:rPr>
          <w:rFonts w:eastAsia="Times New Roman" w:cs="Calibri"/>
          <w:color w:val="333333"/>
          <w:sz w:val="24"/>
          <w:szCs w:val="24"/>
        </w:rPr>
        <w:t>atyta.</w:t>
      </w:r>
      <w:r w:rsidR="004576E4" w:rsidRPr="008A40AF">
        <w:rPr>
          <w:rFonts w:eastAsia="Times New Roman" w:cs="Calibri"/>
          <w:color w:val="333333"/>
          <w:sz w:val="24"/>
          <w:szCs w:val="24"/>
        </w:rPr>
        <w:t xml:space="preserve"> </w:t>
      </w:r>
      <w:r w:rsidR="003B110E" w:rsidRPr="008A40AF">
        <w:rPr>
          <w:rFonts w:eastAsia="Times New Roman" w:cs="Calibri"/>
          <w:color w:val="333333"/>
          <w:sz w:val="24"/>
          <w:szCs w:val="24"/>
        </w:rPr>
        <w:t xml:space="preserve">Pirkimo sąlygų 3.5 papunktyje </w:t>
      </w:r>
      <w:r w:rsidR="008334E4" w:rsidRPr="008A40AF">
        <w:rPr>
          <w:rFonts w:eastAsia="Times New Roman" w:cs="Calibri"/>
          <w:color w:val="333333"/>
          <w:sz w:val="24"/>
          <w:szCs w:val="24"/>
        </w:rPr>
        <w:t xml:space="preserve">ir </w:t>
      </w:r>
      <w:r w:rsidR="00341821" w:rsidRPr="008A40AF">
        <w:rPr>
          <w:rFonts w:eastAsia="Times New Roman" w:cs="Calibri"/>
          <w:color w:val="333333"/>
          <w:sz w:val="24"/>
          <w:szCs w:val="24"/>
        </w:rPr>
        <w:t xml:space="preserve">Pirkimo sąlygų 7 priedo </w:t>
      </w:r>
      <w:r w:rsidR="008718D4" w:rsidRPr="008A40AF">
        <w:rPr>
          <w:rFonts w:asciiTheme="minorHAnsi" w:hAnsiTheme="minorHAnsi" w:cstheme="minorHAnsi"/>
          <w:sz w:val="24"/>
          <w:szCs w:val="24"/>
          <w:lang w:val="lt"/>
        </w:rPr>
        <w:t>„</w:t>
      </w:r>
      <w:r w:rsidR="00341821" w:rsidRPr="008A40AF">
        <w:rPr>
          <w:rFonts w:eastAsia="Times New Roman" w:cs="Calibri"/>
          <w:color w:val="333333"/>
          <w:sz w:val="24"/>
          <w:szCs w:val="24"/>
        </w:rPr>
        <w:t xml:space="preserve">Sutarties projektas” 1.5 papunktyje </w:t>
      </w:r>
      <w:r w:rsidR="003B110E" w:rsidRPr="008A40AF">
        <w:rPr>
          <w:rFonts w:eastAsia="Times New Roman" w:cs="Calibri"/>
          <w:color w:val="333333"/>
          <w:sz w:val="24"/>
          <w:szCs w:val="24"/>
        </w:rPr>
        <w:t>nustatyta</w:t>
      </w:r>
      <w:r w:rsidR="009033DF" w:rsidRPr="008A40AF">
        <w:rPr>
          <w:rFonts w:eastAsia="Times New Roman" w:cs="Calibri"/>
          <w:color w:val="333333"/>
          <w:sz w:val="24"/>
          <w:szCs w:val="24"/>
        </w:rPr>
        <w:t xml:space="preserve">s </w:t>
      </w:r>
      <w:r w:rsidR="008718D4" w:rsidRPr="008A40AF">
        <w:rPr>
          <w:rFonts w:asciiTheme="minorHAnsi" w:hAnsiTheme="minorHAnsi" w:cstheme="minorHAnsi"/>
          <w:sz w:val="24"/>
          <w:szCs w:val="24"/>
          <w:lang w:val="lt"/>
        </w:rPr>
        <w:t>„</w:t>
      </w:r>
      <w:r w:rsidR="007E1048" w:rsidRPr="00B2401B">
        <w:rPr>
          <w:rFonts w:asciiTheme="minorHAnsi" w:hAnsiTheme="minorHAnsi" w:cstheme="minorHAnsi"/>
          <w:sz w:val="24"/>
          <w:szCs w:val="24"/>
        </w:rPr>
        <w:t>Maksimalus darbų atlikimo terminas</w:t>
      </w:r>
      <w:r w:rsidR="007E1048" w:rsidRPr="008A40AF">
        <w:rPr>
          <w:rFonts w:asciiTheme="minorHAnsi" w:hAnsiTheme="minorHAnsi" w:cstheme="minorHAnsi"/>
          <w:sz w:val="24"/>
          <w:szCs w:val="24"/>
        </w:rPr>
        <w:t xml:space="preserve"> – iki bus panaudotos skirtos lėšos, bet ne ilgiau kaip </w:t>
      </w:r>
      <w:r w:rsidR="007E1048" w:rsidRPr="008A40AF">
        <w:rPr>
          <w:rFonts w:asciiTheme="minorHAnsi" w:hAnsiTheme="minorHAnsi" w:cstheme="minorHAnsi"/>
          <w:b/>
          <w:bCs/>
          <w:sz w:val="24"/>
          <w:szCs w:val="24"/>
        </w:rPr>
        <w:t>24 mėnesiai</w:t>
      </w:r>
      <w:r w:rsidR="007E1048" w:rsidRPr="008A40AF">
        <w:rPr>
          <w:rFonts w:asciiTheme="minorHAnsi" w:hAnsiTheme="minorHAnsi" w:cstheme="minorHAnsi"/>
          <w:sz w:val="24"/>
          <w:szCs w:val="24"/>
        </w:rPr>
        <w:t xml:space="preserve"> nuo sutarties pasirašymo”. </w:t>
      </w:r>
      <w:r w:rsidR="00DF2BF4" w:rsidRPr="008F6EEB">
        <w:rPr>
          <w:rFonts w:asciiTheme="minorHAnsi" w:hAnsiTheme="minorHAnsi" w:cstheme="minorHAnsi"/>
          <w:sz w:val="24"/>
          <w:szCs w:val="24"/>
        </w:rPr>
        <w:t xml:space="preserve">Atkreiptinas dėmesys, kad </w:t>
      </w:r>
      <w:r w:rsidR="00AB372E" w:rsidRPr="008F6EEB">
        <w:rPr>
          <w:rFonts w:asciiTheme="minorHAnsi" w:hAnsiTheme="minorHAnsi" w:cstheme="minorHAnsi"/>
          <w:sz w:val="24"/>
          <w:szCs w:val="24"/>
        </w:rPr>
        <w:t xml:space="preserve">skelbimo II.2.7 punkte turi būti pateikiama informacija apie sutarties trukmę, </w:t>
      </w:r>
      <w:r w:rsidR="00AB372E" w:rsidRPr="008F6EEB">
        <w:rPr>
          <w:rFonts w:asciiTheme="minorHAnsi" w:hAnsiTheme="minorHAnsi" w:cstheme="minorHAnsi"/>
          <w:b/>
          <w:bCs/>
          <w:sz w:val="24"/>
          <w:szCs w:val="24"/>
        </w:rPr>
        <w:t>įvertinus ne tik prekių pristatymo, paslaugų, darbų atlikimo terminą bet ir į abipusių įsipareigojimų įvykdymo terminą</w:t>
      </w:r>
      <w:r w:rsidR="00AB372E" w:rsidRPr="008F6EEB">
        <w:rPr>
          <w:rFonts w:asciiTheme="minorHAnsi" w:hAnsiTheme="minorHAnsi" w:cstheme="minorHAnsi"/>
          <w:sz w:val="24"/>
          <w:szCs w:val="24"/>
        </w:rPr>
        <w:t>, tačiau neatsižvelgiant į darbų atlikimo pratęsimo terminus</w:t>
      </w:r>
      <w:r w:rsidR="00AB372E" w:rsidRPr="008F6EEB">
        <w:rPr>
          <w:rFonts w:asciiTheme="minorHAnsi" w:hAnsiTheme="minorHAnsi" w:cstheme="minorHAnsi"/>
          <w:sz w:val="24"/>
          <w:szCs w:val="24"/>
          <w:vertAlign w:val="superscript"/>
        </w:rPr>
        <w:footnoteReference w:id="1"/>
      </w:r>
      <w:r w:rsidR="00AB372E" w:rsidRPr="008F6EEB">
        <w:rPr>
          <w:rFonts w:asciiTheme="minorHAnsi" w:hAnsiTheme="minorHAnsi" w:cstheme="minorHAnsi"/>
          <w:sz w:val="24"/>
          <w:szCs w:val="24"/>
        </w:rPr>
        <w:t xml:space="preserve">. </w:t>
      </w:r>
    </w:p>
    <w:p w14:paraId="69936FC6" w14:textId="45CD9CDA" w:rsidR="00651DB9" w:rsidRPr="008A40AF" w:rsidRDefault="008C2BA2" w:rsidP="008C2BA2">
      <w:pPr>
        <w:tabs>
          <w:tab w:val="left" w:pos="993"/>
        </w:tabs>
        <w:spacing w:after="0" w:line="276" w:lineRule="auto"/>
        <w:rPr>
          <w:rFonts w:asciiTheme="minorHAnsi" w:hAnsiTheme="minorHAnsi" w:cstheme="minorHAnsi"/>
          <w:sz w:val="24"/>
          <w:szCs w:val="24"/>
        </w:rPr>
      </w:pPr>
      <w:r>
        <w:rPr>
          <w:rFonts w:asciiTheme="minorHAnsi" w:hAnsiTheme="minorHAnsi" w:cstheme="minorHAnsi"/>
          <w:sz w:val="24"/>
          <w:szCs w:val="24"/>
          <w:lang w:val="lt"/>
        </w:rPr>
        <w:t xml:space="preserve">      </w:t>
      </w:r>
      <w:r w:rsidR="00651DB9" w:rsidRPr="008A40AF">
        <w:rPr>
          <w:rFonts w:asciiTheme="minorHAnsi" w:hAnsiTheme="minorHAnsi" w:cstheme="minorHAnsi"/>
          <w:sz w:val="24"/>
          <w:szCs w:val="24"/>
          <w:lang w:val="lt"/>
        </w:rPr>
        <w:t xml:space="preserve">Įstatymo 35 str. 3 d. nustato, jog jeigu yra prieštaravimų tarp skelbime ir kituose pirkimo dokumentuose pateiktos informacijos, teisinga laikoma informacija, nurodyta skelbime apie pirkimą. </w:t>
      </w:r>
      <w:r w:rsidR="00DF2BF4">
        <w:rPr>
          <w:rFonts w:asciiTheme="minorHAnsi" w:hAnsiTheme="minorHAnsi" w:cstheme="minorHAnsi"/>
          <w:sz w:val="24"/>
          <w:szCs w:val="24"/>
          <w:lang w:val="lt"/>
        </w:rPr>
        <w:t>Atsižvelgiant į nurodytą r</w:t>
      </w:r>
      <w:r w:rsidR="00651DB9" w:rsidRPr="008A40AF">
        <w:rPr>
          <w:rFonts w:asciiTheme="minorHAnsi" w:hAnsiTheme="minorHAnsi" w:cstheme="minorHAnsi"/>
          <w:sz w:val="24"/>
          <w:szCs w:val="24"/>
          <w:lang w:val="lt"/>
        </w:rPr>
        <w:t xml:space="preserve">ekomenduotina </w:t>
      </w:r>
      <w:r w:rsidR="00DF2BF4">
        <w:rPr>
          <w:rFonts w:asciiTheme="minorHAnsi" w:hAnsiTheme="minorHAnsi" w:cstheme="minorHAnsi"/>
          <w:sz w:val="24"/>
          <w:szCs w:val="24"/>
          <w:lang w:val="lt"/>
        </w:rPr>
        <w:t xml:space="preserve">tikslinti Pirkimo dokumentus, </w:t>
      </w:r>
      <w:r w:rsidR="00651DB9" w:rsidRPr="008A40AF">
        <w:rPr>
          <w:rFonts w:asciiTheme="minorHAnsi" w:hAnsiTheme="minorHAnsi" w:cstheme="minorHAnsi"/>
          <w:sz w:val="24"/>
          <w:szCs w:val="24"/>
          <w:lang w:val="lt"/>
        </w:rPr>
        <w:t xml:space="preserve">užpildyti ir paskelbti klaidų </w:t>
      </w:r>
      <w:r w:rsidR="00DF2BF4">
        <w:rPr>
          <w:rFonts w:asciiTheme="minorHAnsi" w:hAnsiTheme="minorHAnsi" w:cstheme="minorHAnsi"/>
          <w:sz w:val="24"/>
          <w:szCs w:val="24"/>
          <w:lang w:val="lt"/>
        </w:rPr>
        <w:t>iš</w:t>
      </w:r>
      <w:r w:rsidR="00651DB9" w:rsidRPr="008A40AF">
        <w:rPr>
          <w:rFonts w:asciiTheme="minorHAnsi" w:hAnsiTheme="minorHAnsi" w:cstheme="minorHAnsi"/>
          <w:sz w:val="24"/>
          <w:szCs w:val="24"/>
          <w:lang w:val="lt"/>
        </w:rPr>
        <w:t>taisymo Skelbimą, susijusį su pakeitimais ar papildoma informacija, koreguojant Skelbimo II.2.7 dalyje nurodytą sutarties trukmę.</w:t>
      </w:r>
    </w:p>
    <w:p w14:paraId="1A0239E3" w14:textId="77777777" w:rsidR="00446B56" w:rsidRPr="008A40AF" w:rsidRDefault="00446B56" w:rsidP="008A40AF">
      <w:pPr>
        <w:tabs>
          <w:tab w:val="left" w:pos="993"/>
        </w:tabs>
        <w:spacing w:after="0" w:line="276" w:lineRule="auto"/>
        <w:ind w:firstLine="709"/>
        <w:rPr>
          <w:rFonts w:asciiTheme="minorHAnsi" w:hAnsiTheme="minorHAnsi" w:cstheme="minorHAnsi"/>
          <w:sz w:val="24"/>
          <w:szCs w:val="24"/>
          <w:lang w:val="lt"/>
        </w:rPr>
      </w:pPr>
    </w:p>
    <w:p w14:paraId="612E14BE" w14:textId="7C0731EE" w:rsidR="0006420D" w:rsidRPr="009E3F6A" w:rsidRDefault="00342F18" w:rsidP="008A40AF">
      <w:pPr>
        <w:tabs>
          <w:tab w:val="left" w:pos="567"/>
          <w:tab w:val="left" w:pos="900"/>
          <w:tab w:val="left" w:pos="990"/>
        </w:tabs>
        <w:spacing w:after="0" w:line="276" w:lineRule="auto"/>
        <w:rPr>
          <w:rFonts w:asciiTheme="minorHAnsi" w:hAnsiTheme="minorHAnsi" w:cstheme="minorHAnsi"/>
          <w:bCs/>
          <w:iCs/>
          <w:kern w:val="0"/>
          <w:sz w:val="24"/>
          <w:szCs w:val="24"/>
          <w:lang w:val="lt-LT" w:eastAsia="lt-LT"/>
          <w14:ligatures w14:val="none"/>
        </w:rPr>
      </w:pPr>
      <w:r w:rsidRPr="008A40AF">
        <w:rPr>
          <w:rFonts w:asciiTheme="minorHAnsi" w:hAnsiTheme="minorHAnsi" w:cstheme="minorHAnsi"/>
          <w:sz w:val="24"/>
          <w:szCs w:val="24"/>
          <w:lang w:val="lt"/>
        </w:rPr>
        <w:t xml:space="preserve">     </w:t>
      </w:r>
      <w:r w:rsidR="00A147F2" w:rsidRPr="008A40AF">
        <w:rPr>
          <w:rFonts w:asciiTheme="minorHAnsi" w:hAnsiTheme="minorHAnsi" w:cstheme="minorHAnsi"/>
          <w:b/>
          <w:bCs/>
          <w:sz w:val="24"/>
          <w:szCs w:val="24"/>
          <w:lang w:val="lt"/>
        </w:rPr>
        <w:t>2.</w:t>
      </w:r>
      <w:r w:rsidR="00A147F2" w:rsidRPr="008A40AF">
        <w:rPr>
          <w:rFonts w:asciiTheme="minorHAnsi" w:hAnsiTheme="minorHAnsi" w:cstheme="minorHAnsi"/>
          <w:sz w:val="24"/>
          <w:szCs w:val="24"/>
          <w:lang w:val="lt"/>
        </w:rPr>
        <w:t xml:space="preserve"> </w:t>
      </w:r>
      <w:r w:rsidR="00276DEB" w:rsidRPr="008A40AF">
        <w:rPr>
          <w:rFonts w:asciiTheme="minorHAnsi" w:hAnsiTheme="minorHAnsi" w:cstheme="minorHAnsi"/>
          <w:sz w:val="24"/>
          <w:szCs w:val="24"/>
          <w:lang w:val="lt"/>
        </w:rPr>
        <w:t>Pirkimo sąlygų 8.7 papunktyje nustatyta, kad „</w:t>
      </w:r>
      <w:r w:rsidR="0006420D" w:rsidRPr="008A40AF">
        <w:rPr>
          <w:rFonts w:asciiTheme="minorHAnsi" w:hAnsiTheme="minorHAnsi" w:cstheme="minorHAnsi"/>
          <w:kern w:val="0"/>
          <w:sz w:val="24"/>
          <w:szCs w:val="24"/>
          <w:lang w:val="lt-LT" w:eastAsia="lt-LT"/>
          <w14:ligatures w14:val="none"/>
        </w:rPr>
        <w:t xml:space="preserve">Prieš nustatydama laimėjusį pasiūlymą RRSA CPO </w:t>
      </w:r>
      <w:r w:rsidR="0006420D" w:rsidRPr="008A40AF">
        <w:rPr>
          <w:rFonts w:asciiTheme="minorHAnsi" w:hAnsiTheme="minorHAnsi" w:cstheme="minorHAnsi"/>
          <w:b/>
          <w:bCs/>
          <w:kern w:val="0"/>
          <w:sz w:val="24"/>
          <w:szCs w:val="24"/>
          <w:lang w:val="lt-LT" w:eastAsia="lt-LT"/>
          <w14:ligatures w14:val="none"/>
        </w:rPr>
        <w:t>reikalaus, kad</w:t>
      </w:r>
      <w:r w:rsidR="0006420D" w:rsidRPr="008A40AF">
        <w:rPr>
          <w:rFonts w:asciiTheme="minorHAnsi" w:hAnsiTheme="minorHAnsi" w:cstheme="minorHAnsi"/>
          <w:kern w:val="0"/>
          <w:sz w:val="24"/>
          <w:szCs w:val="24"/>
          <w:lang w:val="lt-LT" w:eastAsia="lt-LT"/>
          <w14:ligatures w14:val="none"/>
        </w:rPr>
        <w:t xml:space="preserve"> ekonomiškai naudingiausią pasiūlymą pateikęs tiekėjas </w:t>
      </w:r>
      <w:r w:rsidR="0006420D" w:rsidRPr="008A40AF">
        <w:rPr>
          <w:rFonts w:asciiTheme="minorHAnsi" w:hAnsiTheme="minorHAnsi" w:cstheme="minorHAnsi"/>
          <w:b/>
          <w:bCs/>
          <w:kern w:val="0"/>
          <w:sz w:val="24"/>
          <w:szCs w:val="24"/>
          <w:lang w:val="lt-LT" w:eastAsia="lt-LT"/>
          <w14:ligatures w14:val="none"/>
        </w:rPr>
        <w:t>pateiktų</w:t>
      </w:r>
      <w:r w:rsidR="0006420D" w:rsidRPr="008A40AF">
        <w:rPr>
          <w:rFonts w:asciiTheme="minorHAnsi" w:hAnsiTheme="minorHAnsi" w:cstheme="minorHAnsi"/>
          <w:kern w:val="0"/>
          <w:sz w:val="24"/>
          <w:szCs w:val="24"/>
          <w:lang w:val="lt-LT" w:eastAsia="lt-LT"/>
          <w14:ligatures w14:val="none"/>
        </w:rPr>
        <w:t xml:space="preserve"> </w:t>
      </w:r>
      <w:r w:rsidR="0006420D" w:rsidRPr="008A40AF">
        <w:rPr>
          <w:rFonts w:asciiTheme="minorHAnsi" w:hAnsiTheme="minorHAnsi" w:cstheme="minorHAnsi"/>
          <w:b/>
          <w:bCs/>
          <w:kern w:val="0"/>
          <w:sz w:val="24"/>
          <w:szCs w:val="24"/>
          <w:lang w:val="lt-LT" w:eastAsia="lt-LT"/>
          <w14:ligatures w14:val="none"/>
        </w:rPr>
        <w:t>aktualius dokumentus</w:t>
      </w:r>
      <w:r w:rsidR="001356D9" w:rsidRPr="008A40AF">
        <w:rPr>
          <w:rFonts w:asciiTheme="minorHAnsi" w:hAnsiTheme="minorHAnsi" w:cstheme="minorHAnsi"/>
          <w:b/>
          <w:bCs/>
          <w:kern w:val="0"/>
          <w:sz w:val="24"/>
          <w:szCs w:val="24"/>
          <w:lang w:val="lt-LT" w:eastAsia="lt-LT"/>
          <w14:ligatures w14:val="none"/>
        </w:rPr>
        <w:t xml:space="preserve"> </w:t>
      </w:r>
      <w:r w:rsidR="0006420D" w:rsidRPr="008A40AF">
        <w:rPr>
          <w:rFonts w:asciiTheme="minorHAnsi" w:hAnsiTheme="minorHAnsi" w:cstheme="minorHAnsi"/>
          <w:b/>
          <w:bCs/>
          <w:kern w:val="0"/>
          <w:sz w:val="24"/>
          <w:szCs w:val="24"/>
          <w:lang w:val="lt-LT" w:eastAsia="lt-LT"/>
          <w14:ligatures w14:val="none"/>
        </w:rPr>
        <w:t>patvirtinančius</w:t>
      </w:r>
      <w:r w:rsidR="0006420D" w:rsidRPr="008A40AF">
        <w:rPr>
          <w:rFonts w:asciiTheme="minorHAnsi" w:hAnsiTheme="minorHAnsi" w:cstheme="minorHAnsi"/>
          <w:kern w:val="0"/>
          <w:sz w:val="24"/>
          <w:szCs w:val="24"/>
          <w:lang w:val="lt-LT" w:eastAsia="lt-LT"/>
          <w14:ligatures w14:val="none"/>
        </w:rPr>
        <w:t xml:space="preserve"> </w:t>
      </w:r>
      <w:r w:rsidR="001356D9" w:rsidRPr="008A40AF">
        <w:rPr>
          <w:rFonts w:asciiTheme="minorHAnsi" w:hAnsiTheme="minorHAnsi" w:cstheme="minorHAnsi"/>
          <w:kern w:val="0"/>
          <w:sz w:val="24"/>
          <w:szCs w:val="24"/>
          <w:lang w:val="lt-LT" w:eastAsia="lt-LT"/>
          <w14:ligatures w14:val="none"/>
        </w:rPr>
        <w:t>&lt;...&gt;</w:t>
      </w:r>
      <w:r w:rsidR="0006420D" w:rsidRPr="008A40AF">
        <w:rPr>
          <w:rFonts w:asciiTheme="minorHAnsi" w:hAnsiTheme="minorHAnsi" w:cstheme="minorHAnsi"/>
          <w:kern w:val="0"/>
          <w:sz w:val="24"/>
          <w:szCs w:val="24"/>
          <w:lang w:val="lt-LT" w:eastAsia="lt-LT"/>
          <w14:ligatures w14:val="none"/>
        </w:rPr>
        <w:t xml:space="preserve"> </w:t>
      </w:r>
      <w:r w:rsidR="0006420D" w:rsidRPr="008A40AF">
        <w:rPr>
          <w:rFonts w:asciiTheme="minorHAnsi" w:hAnsiTheme="minorHAnsi" w:cstheme="minorHAnsi"/>
          <w:b/>
          <w:bCs/>
          <w:kern w:val="0"/>
          <w:sz w:val="24"/>
          <w:szCs w:val="24"/>
          <w:lang w:val="lt-LT" w:eastAsia="lt-LT"/>
          <w14:ligatures w14:val="none"/>
        </w:rPr>
        <w:t>kad tiekėjas</w:t>
      </w:r>
      <w:r w:rsidR="0006420D" w:rsidRPr="008A40AF">
        <w:rPr>
          <w:rFonts w:asciiTheme="minorHAnsi" w:hAnsiTheme="minorHAnsi" w:cstheme="minorHAnsi"/>
          <w:kern w:val="0"/>
          <w:sz w:val="24"/>
          <w:szCs w:val="24"/>
          <w:lang w:val="lt-LT" w:eastAsia="lt-LT"/>
          <w14:ligatures w14:val="none"/>
        </w:rPr>
        <w:t xml:space="preserve"> (ūkio subjektai, kurių pajėgumais tiekėjas remiasi) </w:t>
      </w:r>
      <w:r w:rsidR="0006420D" w:rsidRPr="008A40AF">
        <w:rPr>
          <w:rFonts w:asciiTheme="minorHAnsi" w:hAnsiTheme="minorHAnsi" w:cstheme="minorHAnsi"/>
          <w:b/>
          <w:bCs/>
          <w:kern w:val="0"/>
          <w:sz w:val="24"/>
          <w:szCs w:val="24"/>
          <w:lang w:val="lt-LT" w:eastAsia="lt-LT"/>
          <w14:ligatures w14:val="none"/>
        </w:rPr>
        <w:t>neatitinka nustatytų pašalinimo pagrindų</w:t>
      </w:r>
      <w:r w:rsidR="001356D9" w:rsidRPr="008A40AF">
        <w:rPr>
          <w:rFonts w:asciiTheme="minorHAnsi" w:hAnsiTheme="minorHAnsi" w:cstheme="minorHAnsi"/>
          <w:kern w:val="0"/>
          <w:sz w:val="24"/>
          <w:szCs w:val="24"/>
          <w:lang w:val="lt-LT" w:eastAsia="lt-LT"/>
          <w14:ligatures w14:val="none"/>
        </w:rPr>
        <w:t xml:space="preserve"> &lt;...&gt;</w:t>
      </w:r>
      <w:r w:rsidR="00643998" w:rsidRPr="008A40AF">
        <w:rPr>
          <w:rFonts w:asciiTheme="minorHAnsi" w:hAnsiTheme="minorHAnsi" w:cstheme="minorHAnsi"/>
          <w:kern w:val="0"/>
          <w:sz w:val="24"/>
          <w:szCs w:val="24"/>
          <w:lang w:val="lt-LT" w:eastAsia="lt-LT"/>
          <w14:ligatures w14:val="none"/>
        </w:rPr>
        <w:t>.</w:t>
      </w:r>
      <w:r w:rsidR="0006420D" w:rsidRPr="008A40AF">
        <w:rPr>
          <w:rFonts w:asciiTheme="minorHAnsi" w:hAnsiTheme="minorHAnsi" w:cstheme="minorHAnsi"/>
          <w:kern w:val="0"/>
          <w:sz w:val="24"/>
          <w:szCs w:val="24"/>
          <w:lang w:val="lt-LT" w:eastAsia="lt-LT"/>
          <w14:ligatures w14:val="none"/>
        </w:rPr>
        <w:t xml:space="preserve"> </w:t>
      </w:r>
      <w:r w:rsidR="0006420D" w:rsidRPr="008A40AF">
        <w:rPr>
          <w:rFonts w:asciiTheme="minorHAnsi" w:hAnsiTheme="minorHAnsi" w:cstheme="minorHAnsi"/>
          <w:bCs/>
          <w:iCs/>
          <w:kern w:val="0"/>
          <w:sz w:val="24"/>
          <w:szCs w:val="24"/>
          <w:lang w:val="lt-LT" w:eastAsia="lt-LT"/>
          <w14:ligatures w14:val="none"/>
        </w:rPr>
        <w:t xml:space="preserve">RRSA CPO ekonomiškai naudingiausią pasiūlymą pateikusio tiekėjo (ūkio subjektų, kurių pajėgumais tiekėjas remiasi ir subtiekėjų – jei taikoma) </w:t>
      </w:r>
      <w:r w:rsidR="0006420D" w:rsidRPr="008A40AF">
        <w:rPr>
          <w:rFonts w:asciiTheme="minorHAnsi" w:hAnsiTheme="minorHAnsi" w:cstheme="minorHAnsi"/>
          <w:b/>
          <w:iCs/>
          <w:kern w:val="0"/>
          <w:sz w:val="24"/>
          <w:szCs w:val="24"/>
          <w:lang w:val="lt-LT" w:eastAsia="lt-LT"/>
          <w14:ligatures w14:val="none"/>
        </w:rPr>
        <w:t>nereikalauja</w:t>
      </w:r>
      <w:r w:rsidR="0006420D" w:rsidRPr="008A40AF">
        <w:rPr>
          <w:rFonts w:asciiTheme="minorHAnsi" w:hAnsiTheme="minorHAnsi" w:cstheme="minorHAnsi"/>
          <w:bCs/>
          <w:iCs/>
          <w:kern w:val="0"/>
          <w:sz w:val="24"/>
          <w:szCs w:val="24"/>
          <w:lang w:val="lt-LT" w:eastAsia="lt-LT"/>
          <w14:ligatures w14:val="none"/>
        </w:rPr>
        <w:t xml:space="preserve"> </w:t>
      </w:r>
      <w:r w:rsidR="0006420D" w:rsidRPr="008A40AF">
        <w:rPr>
          <w:rFonts w:asciiTheme="minorHAnsi" w:hAnsiTheme="minorHAnsi" w:cstheme="minorHAnsi"/>
          <w:b/>
          <w:iCs/>
          <w:kern w:val="0"/>
          <w:sz w:val="24"/>
          <w:szCs w:val="24"/>
          <w:lang w:val="lt-LT" w:eastAsia="lt-LT"/>
          <w14:ligatures w14:val="none"/>
        </w:rPr>
        <w:t>pateikti dokumentų, patvirtinančių nustatytų pašalinimo pagrindų nebuvimą,</w:t>
      </w:r>
      <w:r w:rsidR="0006420D" w:rsidRPr="008A40AF">
        <w:rPr>
          <w:rFonts w:asciiTheme="minorHAnsi" w:hAnsiTheme="minorHAnsi" w:cstheme="minorHAnsi"/>
          <w:bCs/>
          <w:iCs/>
          <w:kern w:val="0"/>
          <w:sz w:val="24"/>
          <w:szCs w:val="24"/>
          <w:lang w:val="lt-LT" w:eastAsia="lt-LT"/>
          <w14:ligatures w14:val="none"/>
        </w:rPr>
        <w:t xml:space="preserve"> išskyrus atvejus, kai ji turi pagrįstų abejonių dėl jo patikimumo</w:t>
      </w:r>
      <w:r w:rsidR="0024013E" w:rsidRPr="008A40AF">
        <w:rPr>
          <w:rFonts w:asciiTheme="minorHAnsi" w:hAnsiTheme="minorHAnsi" w:cstheme="minorHAnsi"/>
          <w:bCs/>
          <w:iCs/>
          <w:kern w:val="0"/>
          <w:sz w:val="24"/>
          <w:szCs w:val="24"/>
          <w:lang w:val="lt-LT" w:eastAsia="lt-LT"/>
          <w14:ligatures w14:val="none"/>
        </w:rPr>
        <w:t>“</w:t>
      </w:r>
      <w:r w:rsidR="0006420D" w:rsidRPr="008A40AF">
        <w:rPr>
          <w:rFonts w:asciiTheme="minorHAnsi" w:hAnsiTheme="minorHAnsi" w:cstheme="minorHAnsi"/>
          <w:bCs/>
          <w:iCs/>
          <w:kern w:val="0"/>
          <w:sz w:val="24"/>
          <w:szCs w:val="24"/>
          <w:lang w:val="lt-LT" w:eastAsia="lt-LT"/>
          <w14:ligatures w14:val="none"/>
        </w:rPr>
        <w:t>.</w:t>
      </w:r>
      <w:r w:rsidR="007C0376" w:rsidRPr="008A40AF">
        <w:rPr>
          <w:rFonts w:asciiTheme="minorHAnsi" w:hAnsiTheme="minorHAnsi" w:cstheme="minorHAnsi"/>
          <w:bCs/>
          <w:iCs/>
          <w:kern w:val="0"/>
          <w:sz w:val="24"/>
          <w:szCs w:val="24"/>
          <w:lang w:val="lt-LT" w:eastAsia="lt-LT"/>
          <w14:ligatures w14:val="none"/>
        </w:rPr>
        <w:t xml:space="preserve"> </w:t>
      </w:r>
      <w:r w:rsidR="00CC7927" w:rsidRPr="009E3F6A">
        <w:rPr>
          <w:rFonts w:asciiTheme="minorHAnsi" w:hAnsiTheme="minorHAnsi" w:cstheme="minorHAnsi"/>
          <w:sz w:val="24"/>
          <w:szCs w:val="24"/>
        </w:rPr>
        <w:t xml:space="preserve">Atsižvelgiant į </w:t>
      </w:r>
      <w:r w:rsidR="00DF2BF4" w:rsidRPr="009E3F6A">
        <w:rPr>
          <w:rFonts w:asciiTheme="minorHAnsi" w:hAnsiTheme="minorHAnsi" w:cstheme="minorHAnsi"/>
          <w:sz w:val="24"/>
          <w:szCs w:val="24"/>
        </w:rPr>
        <w:t xml:space="preserve">tai, kad šiuo atveju Pirkimo dokumentuose pateikta dviprasmiška informacija bei </w:t>
      </w:r>
      <w:r w:rsidR="00CC7927" w:rsidRPr="009E3F6A">
        <w:rPr>
          <w:rFonts w:asciiTheme="minorHAnsi" w:hAnsiTheme="minorHAnsi" w:cstheme="minorHAnsi"/>
          <w:sz w:val="24"/>
          <w:szCs w:val="24"/>
        </w:rPr>
        <w:t xml:space="preserve"> vadovaujantis Įstatymo 35 straipsnio 4 dalies nuostata, kad „&lt;...&gt; Pirkimo dokumentai turi būti tikslūs, aiškūs, be dviprasmybių &lt;...&gt;“, Tarnyba rekomenduoja </w:t>
      </w:r>
      <w:r w:rsidR="00A37369" w:rsidRPr="009E3F6A">
        <w:rPr>
          <w:rFonts w:asciiTheme="minorHAnsi" w:hAnsiTheme="minorHAnsi" w:cstheme="minorHAnsi"/>
          <w:sz w:val="24"/>
          <w:szCs w:val="24"/>
        </w:rPr>
        <w:t>patikslinti nurodytą nuostatą.</w:t>
      </w:r>
    </w:p>
    <w:p w14:paraId="2DAF4993" w14:textId="3FDEA7F2" w:rsidR="00276DEB" w:rsidRPr="009E3F6A" w:rsidRDefault="00276DEB" w:rsidP="008A40AF">
      <w:pPr>
        <w:pStyle w:val="ListParagraph"/>
        <w:tabs>
          <w:tab w:val="left" w:pos="993"/>
        </w:tabs>
        <w:spacing w:after="0" w:line="276" w:lineRule="auto"/>
        <w:rPr>
          <w:rFonts w:asciiTheme="minorHAnsi" w:hAnsiTheme="minorHAnsi" w:cstheme="minorHAnsi"/>
          <w:sz w:val="24"/>
          <w:szCs w:val="24"/>
        </w:rPr>
      </w:pPr>
    </w:p>
    <w:p w14:paraId="014BCB2C" w14:textId="3EFA15CA" w:rsidR="006C2018" w:rsidRDefault="00E85761" w:rsidP="008A40AF">
      <w:pPr>
        <w:tabs>
          <w:tab w:val="left" w:pos="993"/>
        </w:tabs>
        <w:spacing w:after="0" w:line="276" w:lineRule="auto"/>
        <w:rPr>
          <w:rFonts w:asciiTheme="minorHAnsi" w:hAnsiTheme="minorHAnsi" w:cstheme="minorHAnsi"/>
          <w:sz w:val="24"/>
          <w:szCs w:val="24"/>
          <w:lang w:val="lt-LT"/>
        </w:rPr>
      </w:pPr>
      <w:r w:rsidRPr="008A40AF">
        <w:rPr>
          <w:rFonts w:asciiTheme="minorHAnsi" w:eastAsiaTheme="minorHAnsi" w:hAnsiTheme="minorHAnsi" w:cstheme="minorHAnsi"/>
          <w:b/>
          <w:bCs/>
          <w:kern w:val="0"/>
          <w:sz w:val="24"/>
          <w:szCs w:val="24"/>
          <w:lang w:val="lt-LT"/>
          <w14:ligatures w14:val="none"/>
        </w:rPr>
        <w:lastRenderedPageBreak/>
        <w:t xml:space="preserve">     </w:t>
      </w:r>
      <w:r w:rsidR="00615B11" w:rsidRPr="008A40AF">
        <w:rPr>
          <w:rFonts w:asciiTheme="minorHAnsi" w:eastAsiaTheme="minorHAnsi" w:hAnsiTheme="minorHAnsi" w:cstheme="minorHAnsi"/>
          <w:b/>
          <w:bCs/>
          <w:kern w:val="0"/>
          <w:sz w:val="24"/>
          <w:szCs w:val="24"/>
          <w:lang w:val="lt-LT"/>
          <w14:ligatures w14:val="none"/>
        </w:rPr>
        <w:t>3.</w:t>
      </w:r>
      <w:r w:rsidR="00C61F63" w:rsidRPr="008A40AF">
        <w:rPr>
          <w:rFonts w:asciiTheme="minorHAnsi" w:eastAsiaTheme="minorHAnsi" w:hAnsiTheme="minorHAnsi" w:cstheme="minorHAnsi"/>
          <w:kern w:val="0"/>
          <w:sz w:val="24"/>
          <w:szCs w:val="24"/>
          <w:lang w:val="lt-LT"/>
          <w14:ligatures w14:val="none"/>
        </w:rPr>
        <w:t xml:space="preserve"> </w:t>
      </w:r>
      <w:r w:rsidR="000473F0" w:rsidRPr="008A40AF">
        <w:rPr>
          <w:rFonts w:asciiTheme="minorHAnsi" w:eastAsiaTheme="minorHAnsi" w:hAnsiTheme="minorHAnsi" w:cstheme="minorHAnsi"/>
          <w:kern w:val="0"/>
          <w:sz w:val="24"/>
          <w:szCs w:val="24"/>
          <w:lang w:val="lt-LT"/>
          <w14:ligatures w14:val="none"/>
        </w:rPr>
        <w:t xml:space="preserve">Vadovaujantis </w:t>
      </w:r>
      <w:r w:rsidR="000473F0" w:rsidRPr="008A40AF">
        <w:rPr>
          <w:rFonts w:asciiTheme="minorHAnsi" w:eastAsia="Times New Roman" w:hAnsiTheme="minorHAnsi" w:cstheme="minorHAnsi"/>
          <w:kern w:val="0"/>
          <w:sz w:val="24"/>
          <w:szCs w:val="24"/>
          <w:lang w:val="lt-LT"/>
          <w14:ligatures w14:val="none"/>
        </w:rPr>
        <w:t>Tiekėjo kvalifikacijos reikalavimų nustatymo metodikos</w:t>
      </w:r>
      <w:r w:rsidR="000E7EE7" w:rsidRPr="008A40AF">
        <w:rPr>
          <w:rFonts w:eastAsia="Times New Roman"/>
          <w:kern w:val="0"/>
          <w:sz w:val="24"/>
          <w:szCs w:val="24"/>
          <w:vertAlign w:val="superscript"/>
          <w:lang w:val="lt-LT"/>
          <w14:ligatures w14:val="none"/>
        </w:rPr>
        <w:footnoteReference w:id="2"/>
      </w:r>
      <w:r w:rsidR="000473F0" w:rsidRPr="008A40AF">
        <w:rPr>
          <w:rFonts w:asciiTheme="minorHAnsi" w:eastAsia="Times New Roman" w:hAnsiTheme="minorHAnsi" w:cstheme="minorHAnsi"/>
          <w:kern w:val="0"/>
          <w:sz w:val="24"/>
          <w:szCs w:val="24"/>
          <w:lang w:val="lt-LT"/>
          <w14:ligatures w14:val="none"/>
        </w:rPr>
        <w:t xml:space="preserve"> (toliau –Kvalifikacijos metodika)</w:t>
      </w:r>
      <w:r w:rsidR="000E7EE7" w:rsidRPr="008A40AF">
        <w:rPr>
          <w:rFonts w:asciiTheme="minorHAnsi" w:eastAsia="Times New Roman" w:hAnsiTheme="minorHAnsi" w:cstheme="minorHAnsi"/>
          <w:kern w:val="0"/>
          <w:sz w:val="24"/>
          <w:szCs w:val="24"/>
          <w:lang w:val="lt-LT"/>
          <w14:ligatures w14:val="none"/>
        </w:rPr>
        <w:t xml:space="preserve"> </w:t>
      </w:r>
      <w:r w:rsidR="00E37A51" w:rsidRPr="008A40AF">
        <w:rPr>
          <w:rFonts w:asciiTheme="minorHAnsi" w:eastAsia="Times New Roman" w:hAnsiTheme="minorHAnsi" w:cstheme="minorHAnsi"/>
          <w:kern w:val="0"/>
          <w:sz w:val="24"/>
          <w:szCs w:val="24"/>
          <w:lang w:val="lt-LT"/>
          <w14:ligatures w14:val="none"/>
        </w:rPr>
        <w:t xml:space="preserve">21 punktu </w:t>
      </w:r>
      <w:r w:rsidR="00CE2F81" w:rsidRPr="008A40AF">
        <w:rPr>
          <w:rFonts w:asciiTheme="minorHAnsi" w:eastAsia="Times New Roman" w:hAnsiTheme="minorHAnsi" w:cstheme="minorHAnsi"/>
          <w:kern w:val="0"/>
          <w:sz w:val="24"/>
          <w:szCs w:val="24"/>
          <w:lang w:val="lt-LT"/>
          <w14:ligatures w14:val="none"/>
        </w:rPr>
        <w:t>„</w:t>
      </w:r>
      <w:r w:rsidR="00480FE5" w:rsidRPr="008A40AF">
        <w:rPr>
          <w:rFonts w:asciiTheme="minorHAnsi" w:hAnsiTheme="minorHAnsi" w:cstheme="minorHAnsi"/>
          <w:color w:val="000000"/>
          <w:sz w:val="24"/>
          <w:szCs w:val="24"/>
        </w:rPr>
        <w:t>Pirkimo vykdytojas paprastai turi nurodyti, kad tas pats asmuo galės vykdyti kelių specialistų, ekspertų, vadovų funkcijas</w:t>
      </w:r>
      <w:r w:rsidR="00924185" w:rsidRPr="008A40AF">
        <w:rPr>
          <w:rFonts w:asciiTheme="minorHAnsi" w:hAnsiTheme="minorHAnsi" w:cstheme="minorHAnsi"/>
          <w:color w:val="000000"/>
          <w:sz w:val="24"/>
          <w:szCs w:val="24"/>
        </w:rPr>
        <w:t>&lt;…&gt;</w:t>
      </w:r>
      <w:r w:rsidR="00480FE5" w:rsidRPr="008A40AF">
        <w:rPr>
          <w:rFonts w:asciiTheme="minorHAnsi" w:hAnsiTheme="minorHAnsi" w:cstheme="minorHAnsi"/>
          <w:color w:val="000000"/>
          <w:sz w:val="24"/>
          <w:szCs w:val="24"/>
        </w:rPr>
        <w:t>”</w:t>
      </w:r>
      <w:r w:rsidR="003F79CB" w:rsidRPr="008A40AF">
        <w:rPr>
          <w:rFonts w:asciiTheme="minorHAnsi" w:hAnsiTheme="minorHAnsi" w:cstheme="minorHAnsi"/>
          <w:color w:val="000000"/>
          <w:sz w:val="24"/>
          <w:szCs w:val="24"/>
        </w:rPr>
        <w:t xml:space="preserve">. </w:t>
      </w:r>
      <w:r w:rsidR="00E353AF" w:rsidRPr="008A40AF">
        <w:rPr>
          <w:rFonts w:asciiTheme="minorHAnsi" w:hAnsiTheme="minorHAnsi" w:cstheme="minorHAnsi"/>
          <w:color w:val="000000"/>
          <w:sz w:val="24"/>
          <w:szCs w:val="24"/>
        </w:rPr>
        <w:t xml:space="preserve">Atsižvelgiant į </w:t>
      </w:r>
      <w:r w:rsidR="00DF2BF4">
        <w:rPr>
          <w:rFonts w:asciiTheme="minorHAnsi" w:hAnsiTheme="minorHAnsi" w:cstheme="minorHAnsi"/>
          <w:color w:val="000000"/>
          <w:sz w:val="24"/>
          <w:szCs w:val="24"/>
        </w:rPr>
        <w:t>Pirkimo objektą, faktinį sutarties vykdymą bei nustatytus reikalavimus specialistams</w:t>
      </w:r>
      <w:r w:rsidR="00E353AF" w:rsidRPr="008A40AF">
        <w:rPr>
          <w:rFonts w:asciiTheme="minorHAnsi" w:hAnsiTheme="minorHAnsi" w:cstheme="minorHAnsi"/>
          <w:color w:val="000000"/>
          <w:sz w:val="24"/>
          <w:szCs w:val="24"/>
        </w:rPr>
        <w:t xml:space="preserve">, </w:t>
      </w:r>
      <w:r w:rsidR="001A7AEF" w:rsidRPr="008A40AF">
        <w:rPr>
          <w:rFonts w:asciiTheme="minorHAnsi" w:hAnsiTheme="minorHAnsi" w:cstheme="minorHAnsi"/>
          <w:color w:val="000000"/>
          <w:sz w:val="24"/>
          <w:szCs w:val="24"/>
        </w:rPr>
        <w:t xml:space="preserve">rekomenduotina Pirkimo </w:t>
      </w:r>
      <w:r w:rsidR="009B77F0" w:rsidRPr="008A40AF">
        <w:rPr>
          <w:rFonts w:asciiTheme="minorHAnsi" w:hAnsiTheme="minorHAnsi" w:cstheme="minorHAnsi"/>
          <w:color w:val="000000"/>
          <w:sz w:val="24"/>
          <w:szCs w:val="24"/>
        </w:rPr>
        <w:t xml:space="preserve">sąlygų 4 priedo “Tiekėjų </w:t>
      </w:r>
      <w:r w:rsidR="00AD31DA" w:rsidRPr="008A40AF">
        <w:rPr>
          <w:rFonts w:asciiTheme="minorHAnsi" w:hAnsiTheme="minorHAnsi" w:cstheme="minorHAnsi"/>
          <w:sz w:val="24"/>
          <w:szCs w:val="24"/>
          <w:lang w:val="lt-LT"/>
        </w:rPr>
        <w:t>kvalifikacijos reikalavimai ir reikalaujami kokybės bei aplinkos apsaugos vadybos sistemų standartai“</w:t>
      </w:r>
      <w:r w:rsidR="006D159D" w:rsidRPr="008A40AF">
        <w:rPr>
          <w:rFonts w:asciiTheme="minorHAnsi" w:hAnsiTheme="minorHAnsi" w:cstheme="minorHAnsi"/>
          <w:sz w:val="24"/>
          <w:szCs w:val="24"/>
          <w:lang w:val="lt-LT"/>
        </w:rPr>
        <w:t xml:space="preserve"> </w:t>
      </w:r>
      <w:r w:rsidR="00A11B2D">
        <w:rPr>
          <w:rFonts w:asciiTheme="minorHAnsi" w:hAnsiTheme="minorHAnsi" w:cstheme="minorHAnsi"/>
          <w:sz w:val="24"/>
          <w:szCs w:val="24"/>
          <w:lang w:val="lt-LT"/>
        </w:rPr>
        <w:t>Kvali</w:t>
      </w:r>
      <w:r w:rsidR="006C2018">
        <w:rPr>
          <w:rFonts w:asciiTheme="minorHAnsi" w:hAnsiTheme="minorHAnsi" w:cstheme="minorHAnsi"/>
          <w:sz w:val="24"/>
          <w:szCs w:val="24"/>
          <w:lang w:val="lt-LT"/>
        </w:rPr>
        <w:t xml:space="preserve">fikacijos reikalavimų </w:t>
      </w:r>
      <w:r w:rsidR="006D159D" w:rsidRPr="008A40AF">
        <w:rPr>
          <w:rFonts w:asciiTheme="minorHAnsi" w:hAnsiTheme="minorHAnsi" w:cstheme="minorHAnsi"/>
          <w:sz w:val="24"/>
          <w:szCs w:val="24"/>
          <w:lang w:val="lt-LT"/>
        </w:rPr>
        <w:t xml:space="preserve">lentelės </w:t>
      </w:r>
    </w:p>
    <w:p w14:paraId="5833F11F" w14:textId="4E95FEF1" w:rsidR="00651DB9" w:rsidRPr="008A40AF" w:rsidRDefault="001C0BD1" w:rsidP="008A40AF">
      <w:pPr>
        <w:tabs>
          <w:tab w:val="left" w:pos="993"/>
        </w:tabs>
        <w:spacing w:after="0" w:line="276" w:lineRule="auto"/>
        <w:rPr>
          <w:rFonts w:asciiTheme="minorHAnsi" w:hAnsiTheme="minorHAnsi" w:cstheme="minorHAnsi"/>
          <w:sz w:val="24"/>
          <w:szCs w:val="24"/>
        </w:rPr>
      </w:pPr>
      <w:r w:rsidRPr="008A40AF">
        <w:rPr>
          <w:rFonts w:asciiTheme="minorHAnsi" w:hAnsiTheme="minorHAnsi" w:cstheme="minorHAnsi"/>
          <w:sz w:val="24"/>
          <w:szCs w:val="24"/>
          <w:lang w:val="lt-LT"/>
        </w:rPr>
        <w:t xml:space="preserve">1 punktą papildyti </w:t>
      </w:r>
      <w:r w:rsidR="005242A0" w:rsidRPr="008A40AF">
        <w:rPr>
          <w:rFonts w:asciiTheme="minorHAnsi" w:hAnsiTheme="minorHAnsi" w:cstheme="minorHAnsi"/>
          <w:sz w:val="24"/>
          <w:szCs w:val="24"/>
          <w:lang w:val="lt-LT"/>
        </w:rPr>
        <w:t>atitinkama pastaba,</w:t>
      </w:r>
      <w:r w:rsidR="001C773E" w:rsidRPr="008A40AF">
        <w:rPr>
          <w:rFonts w:asciiTheme="minorHAnsi" w:hAnsiTheme="minorHAnsi" w:cstheme="minorHAnsi"/>
          <w:sz w:val="24"/>
          <w:szCs w:val="24"/>
          <w:lang w:val="lt-LT"/>
        </w:rPr>
        <w:t xml:space="preserve"> nurodant,</w:t>
      </w:r>
      <w:r w:rsidR="005242A0" w:rsidRPr="008A40AF">
        <w:rPr>
          <w:rFonts w:asciiTheme="minorHAnsi" w:hAnsiTheme="minorHAnsi" w:cstheme="minorHAnsi"/>
          <w:sz w:val="24"/>
          <w:szCs w:val="24"/>
          <w:lang w:val="lt-LT"/>
        </w:rPr>
        <w:t xml:space="preserve"> kad tas pats asmuo, turėdamas reikalaujamą kvalifikaciją, galės vykdyti </w:t>
      </w:r>
      <w:r w:rsidR="003909BD">
        <w:rPr>
          <w:rFonts w:asciiTheme="minorHAnsi" w:hAnsiTheme="minorHAnsi" w:cstheme="minorHAnsi"/>
          <w:sz w:val="24"/>
          <w:szCs w:val="24"/>
          <w:lang w:val="lt-LT"/>
        </w:rPr>
        <w:t>abiejų</w:t>
      </w:r>
      <w:r w:rsidR="00752551" w:rsidRPr="008A40AF">
        <w:rPr>
          <w:rFonts w:asciiTheme="minorHAnsi" w:hAnsiTheme="minorHAnsi" w:cstheme="minorHAnsi"/>
          <w:sz w:val="24"/>
          <w:szCs w:val="24"/>
          <w:lang w:val="lt-LT"/>
        </w:rPr>
        <w:t xml:space="preserve"> specialistų funkcijas.</w:t>
      </w:r>
    </w:p>
    <w:p w14:paraId="49F82BAA" w14:textId="4AA84C2A" w:rsidR="007D451E" w:rsidRPr="008A40AF" w:rsidRDefault="007D451E" w:rsidP="008A40AF">
      <w:pPr>
        <w:shd w:val="clear" w:color="auto" w:fill="FFFFFF"/>
        <w:spacing w:after="0" w:line="276" w:lineRule="auto"/>
        <w:rPr>
          <w:rFonts w:asciiTheme="minorHAnsi" w:hAnsiTheme="minorHAnsi" w:cstheme="minorHAnsi"/>
          <w:sz w:val="24"/>
          <w:szCs w:val="24"/>
        </w:rPr>
      </w:pPr>
    </w:p>
    <w:p w14:paraId="4AB6EC6C" w14:textId="06D0F2E4" w:rsidR="00C2717D" w:rsidRPr="008A40AF" w:rsidRDefault="00E85761" w:rsidP="008A40AF">
      <w:pPr>
        <w:pStyle w:val="3lyg"/>
        <w:tabs>
          <w:tab w:val="clear" w:pos="1843"/>
          <w:tab w:val="clear" w:pos="1985"/>
          <w:tab w:val="left" w:pos="284"/>
          <w:tab w:val="left" w:pos="426"/>
        </w:tabs>
        <w:spacing w:line="276" w:lineRule="auto"/>
        <w:ind w:firstLine="0"/>
        <w:jc w:val="left"/>
        <w:rPr>
          <w:rFonts w:asciiTheme="minorHAnsi" w:hAnsiTheme="minorHAnsi" w:cstheme="minorHAnsi"/>
          <w:bCs w:val="0"/>
        </w:rPr>
      </w:pPr>
      <w:r w:rsidRPr="008A40AF">
        <w:rPr>
          <w:rFonts w:asciiTheme="minorHAnsi" w:hAnsiTheme="minorHAnsi" w:cstheme="minorHAnsi"/>
          <w:b/>
          <w:bCs w:val="0"/>
        </w:rPr>
        <w:t xml:space="preserve">     </w:t>
      </w:r>
      <w:r w:rsidR="004D4D58" w:rsidRPr="008A40AF">
        <w:rPr>
          <w:rFonts w:asciiTheme="minorHAnsi" w:hAnsiTheme="minorHAnsi" w:cstheme="minorHAnsi"/>
          <w:b/>
          <w:bCs w:val="0"/>
        </w:rPr>
        <w:t>4.</w:t>
      </w:r>
      <w:r w:rsidR="004D4D58" w:rsidRPr="008A40AF">
        <w:rPr>
          <w:rFonts w:asciiTheme="minorHAnsi" w:hAnsiTheme="minorHAnsi" w:cstheme="minorHAnsi"/>
        </w:rPr>
        <w:t xml:space="preserve"> </w:t>
      </w:r>
      <w:r w:rsidR="00643774" w:rsidRPr="008A40AF">
        <w:rPr>
          <w:rFonts w:asciiTheme="minorHAnsi" w:hAnsiTheme="minorHAnsi" w:cstheme="minorHAnsi"/>
          <w:color w:val="000000"/>
        </w:rPr>
        <w:t xml:space="preserve">Pirkimo sąlygų 4 priedo “Tiekėjų </w:t>
      </w:r>
      <w:r w:rsidR="00643774" w:rsidRPr="008A40AF">
        <w:rPr>
          <w:rFonts w:asciiTheme="minorHAnsi" w:hAnsiTheme="minorHAnsi" w:cstheme="minorHAnsi"/>
        </w:rPr>
        <w:t>kvalifikacijos reikalavimai ir reikalaujami kokybės bei aplinkos apsaugos vadybos sistemų standartai“ lentelė</w:t>
      </w:r>
      <w:r w:rsidR="007D1CC9" w:rsidRPr="008A40AF">
        <w:rPr>
          <w:rFonts w:asciiTheme="minorHAnsi" w:hAnsiTheme="minorHAnsi" w:cstheme="minorHAnsi"/>
        </w:rPr>
        <w:t>je</w:t>
      </w:r>
      <w:r w:rsidR="006960A4" w:rsidRPr="008A40AF">
        <w:rPr>
          <w:rFonts w:asciiTheme="minorHAnsi" w:hAnsiTheme="minorHAnsi" w:cstheme="minorHAnsi"/>
        </w:rPr>
        <w:t xml:space="preserve"> „</w:t>
      </w:r>
      <w:r w:rsidR="009F6F60" w:rsidRPr="008A40AF">
        <w:rPr>
          <w:rFonts w:asciiTheme="minorHAnsi" w:eastAsia="Yu Mincho" w:hAnsiTheme="minorHAnsi" w:cstheme="minorHAnsi"/>
        </w:rPr>
        <w:t>Reikalavimas dėl k</w:t>
      </w:r>
      <w:r w:rsidR="009F6F60" w:rsidRPr="008A40AF">
        <w:rPr>
          <w:rFonts w:asciiTheme="minorHAnsi" w:eastAsia="Yu Mincho" w:hAnsiTheme="minorHAnsi" w:cstheme="minorHAnsi"/>
          <w:iCs/>
        </w:rPr>
        <w:t>okybės vadybos sistemos ir (arba) aplinkos apsaugos vadybos sistemos standartų</w:t>
      </w:r>
      <w:r w:rsidR="009F6F60" w:rsidRPr="008A40AF">
        <w:rPr>
          <w:rFonts w:asciiTheme="minorHAnsi" w:eastAsia="Yu Mincho" w:hAnsiTheme="minorHAnsi" w:cstheme="minorHAnsi"/>
        </w:rPr>
        <w:t xml:space="preserve"> laikymosi”</w:t>
      </w:r>
      <w:r w:rsidR="007D1CC9" w:rsidRPr="008A40AF">
        <w:rPr>
          <w:rFonts w:asciiTheme="minorHAnsi" w:eastAsia="Yu Mincho" w:hAnsiTheme="minorHAnsi" w:cstheme="minorHAnsi"/>
        </w:rPr>
        <w:t xml:space="preserve"> nustatyta, kad </w:t>
      </w:r>
      <w:r w:rsidR="00BF7663" w:rsidRPr="008A40AF">
        <w:rPr>
          <w:rFonts w:asciiTheme="minorHAnsi" w:eastAsia="Yu Mincho" w:hAnsiTheme="minorHAnsi" w:cstheme="minorHAnsi"/>
        </w:rPr>
        <w:t>Pirkimui taikomi aplinkosauginiai reikalavimai „</w:t>
      </w:r>
      <w:r w:rsidR="00C2717D" w:rsidRPr="008A40AF">
        <w:rPr>
          <w:rFonts w:asciiTheme="minorHAnsi" w:hAnsiTheme="minorHAnsi" w:cstheme="minorHAnsi"/>
          <w:bCs w:val="0"/>
        </w:rPr>
        <w:t xml:space="preserve">Vadovaujantis Lietuvos Respublikos aplinkos ministro 2011 m. birželio 28 d. įsakymu Nr. D1-508 patvirtinto „Dėl aplinkos apsaugos kriterijų taikymo, vykdant žaliuosius pirkimus, tvarkos aprašo patvirtinimo“ tvarkos aprašo  (toliau – Tvarkos aprašas) </w:t>
      </w:r>
      <w:r w:rsidR="00C2717D" w:rsidRPr="008A40AF">
        <w:rPr>
          <w:rFonts w:asciiTheme="minorHAnsi" w:hAnsiTheme="minorHAnsi" w:cstheme="minorHAnsi"/>
          <w:b/>
        </w:rPr>
        <w:t>4.3 punktu yra produktų, kurių viešiesiems pirkimams ir pirkimams taikytini minimalūs aplinkos apsaugos kriterijai, sąraše</w:t>
      </w:r>
      <w:r w:rsidR="00C2717D" w:rsidRPr="008A40AF">
        <w:rPr>
          <w:rFonts w:asciiTheme="minorHAnsi" w:hAnsiTheme="minorHAnsi" w:cstheme="minorHAnsi"/>
          <w:bCs w:val="0"/>
        </w:rPr>
        <w:t>, nurodytame Tvarkos aprašo 1 priede ir atitinka visus produktui nustatytus ir aplinkos ministro įsakymu patvirtintus minimalius aplinkos apsaugos kriterijus, nurodytus Tvarkos aprašo 2 priedo XVII skyr. 26.1 papunktyje</w:t>
      </w:r>
      <w:r w:rsidR="00BF7663" w:rsidRPr="008A40AF">
        <w:rPr>
          <w:rFonts w:asciiTheme="minorHAnsi" w:hAnsiTheme="minorHAnsi" w:cstheme="minorHAnsi"/>
          <w:bCs w:val="0"/>
        </w:rPr>
        <w:t>“</w:t>
      </w:r>
      <w:r w:rsidR="00C2717D" w:rsidRPr="008A40AF">
        <w:rPr>
          <w:rFonts w:asciiTheme="minorHAnsi" w:hAnsiTheme="minorHAnsi" w:cstheme="minorHAnsi"/>
          <w:bCs w:val="0"/>
        </w:rPr>
        <w:t>.</w:t>
      </w:r>
    </w:p>
    <w:p w14:paraId="6D09B79F" w14:textId="160F143F" w:rsidR="00046750" w:rsidRDefault="005225DD" w:rsidP="008A40AF">
      <w:pPr>
        <w:pStyle w:val="3lyg"/>
        <w:tabs>
          <w:tab w:val="clear" w:pos="1843"/>
          <w:tab w:val="clear" w:pos="1985"/>
          <w:tab w:val="left" w:pos="284"/>
          <w:tab w:val="left" w:pos="426"/>
        </w:tabs>
        <w:spacing w:line="276" w:lineRule="auto"/>
        <w:ind w:firstLine="0"/>
        <w:jc w:val="left"/>
        <w:rPr>
          <w:rFonts w:asciiTheme="minorHAnsi" w:hAnsiTheme="minorHAnsi" w:cstheme="minorHAnsi"/>
          <w:color w:val="000000"/>
        </w:rPr>
      </w:pPr>
      <w:r w:rsidRPr="008A40AF">
        <w:rPr>
          <w:rFonts w:asciiTheme="minorHAnsi" w:hAnsiTheme="minorHAnsi" w:cstheme="minorHAnsi"/>
          <w:bCs w:val="0"/>
        </w:rPr>
        <w:t xml:space="preserve">       </w:t>
      </w:r>
      <w:r w:rsidR="00BF7663" w:rsidRPr="008A40AF">
        <w:rPr>
          <w:rFonts w:asciiTheme="minorHAnsi" w:hAnsiTheme="minorHAnsi" w:cstheme="minorHAnsi"/>
          <w:bCs w:val="0"/>
        </w:rPr>
        <w:t xml:space="preserve">Tarnyba atkreipia dėmesį, kad </w:t>
      </w:r>
      <w:r w:rsidR="007276B9" w:rsidRPr="008A40AF">
        <w:rPr>
          <w:rFonts w:asciiTheme="minorHAnsi" w:hAnsiTheme="minorHAnsi" w:cstheme="minorHAnsi"/>
        </w:rPr>
        <w:t>Tvarkos aprašo 4</w:t>
      </w:r>
      <w:r w:rsidR="00BA7E1B" w:rsidRPr="008A40AF">
        <w:rPr>
          <w:rFonts w:asciiTheme="minorHAnsi" w:hAnsiTheme="minorHAnsi" w:cstheme="minorHAnsi"/>
        </w:rPr>
        <w:t>.3</w:t>
      </w:r>
      <w:r w:rsidR="00E73810" w:rsidRPr="008A40AF">
        <w:rPr>
          <w:rFonts w:asciiTheme="minorHAnsi" w:hAnsiTheme="minorHAnsi" w:cstheme="minorHAnsi"/>
        </w:rPr>
        <w:t xml:space="preserve"> papunktyje nustatyta</w:t>
      </w:r>
      <w:r w:rsidR="007276B9" w:rsidRPr="008A40AF">
        <w:rPr>
          <w:rFonts w:asciiTheme="minorHAnsi" w:hAnsiTheme="minorHAnsi" w:cstheme="minorHAnsi"/>
        </w:rPr>
        <w:t xml:space="preserve">, kad pirkimas laikomas žaliuoju, kai perkama prekė, paslauga arba darbas </w:t>
      </w:r>
      <w:r w:rsidR="00F60EE4">
        <w:rPr>
          <w:rFonts w:asciiTheme="minorHAnsi" w:hAnsiTheme="minorHAnsi" w:cstheme="minorHAnsi"/>
        </w:rPr>
        <w:t>„</w:t>
      </w:r>
      <w:r w:rsidR="000915AF" w:rsidRPr="008A40AF">
        <w:rPr>
          <w:rFonts w:asciiTheme="minorHAnsi" w:hAnsiTheme="minorHAnsi" w:cstheme="minorHAnsi"/>
          <w:b/>
          <w:bCs w:val="0"/>
          <w:color w:val="000000"/>
        </w:rPr>
        <w:t>nėra produktų sąraše</w:t>
      </w:r>
      <w:r w:rsidR="000915AF" w:rsidRPr="008A40AF">
        <w:rPr>
          <w:rFonts w:asciiTheme="minorHAnsi" w:hAnsiTheme="minorHAnsi" w:cstheme="minorHAnsi"/>
          <w:color w:val="000000"/>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w:t>
      </w:r>
      <w:r w:rsidR="00C61F63" w:rsidRPr="008A40AF">
        <w:rPr>
          <w:rFonts w:asciiTheme="minorHAnsi" w:hAnsiTheme="minorHAnsi" w:cstheme="minorHAnsi"/>
          <w:color w:val="000000"/>
        </w:rPr>
        <w:t>s“.</w:t>
      </w:r>
      <w:r w:rsidR="002C40AF">
        <w:rPr>
          <w:rFonts w:asciiTheme="minorHAnsi" w:hAnsiTheme="minorHAnsi" w:cstheme="minorHAnsi"/>
          <w:color w:val="000000"/>
        </w:rPr>
        <w:t xml:space="preserve"> </w:t>
      </w:r>
    </w:p>
    <w:p w14:paraId="3D1ADFB0" w14:textId="2975DF92" w:rsidR="00FF7BCE" w:rsidRDefault="00046750" w:rsidP="00D87F2F">
      <w:pPr>
        <w:pStyle w:val="3lyg"/>
        <w:tabs>
          <w:tab w:val="clear" w:pos="1843"/>
          <w:tab w:val="clear" w:pos="1985"/>
          <w:tab w:val="left" w:pos="284"/>
          <w:tab w:val="left" w:pos="426"/>
        </w:tabs>
        <w:spacing w:line="276" w:lineRule="auto"/>
        <w:ind w:firstLine="0"/>
        <w:jc w:val="left"/>
        <w:rPr>
          <w:rFonts w:asciiTheme="minorHAnsi" w:hAnsiTheme="minorHAnsi" w:cstheme="minorHAnsi"/>
          <w:color w:val="000000"/>
        </w:rPr>
      </w:pPr>
      <w:r>
        <w:rPr>
          <w:rFonts w:asciiTheme="minorHAnsi" w:hAnsiTheme="minorHAnsi" w:cstheme="minorHAnsi"/>
          <w:color w:val="000000"/>
        </w:rPr>
        <w:t xml:space="preserve">        </w:t>
      </w:r>
      <w:r w:rsidR="00D767EC">
        <w:rPr>
          <w:rFonts w:asciiTheme="minorHAnsi" w:hAnsiTheme="minorHAnsi" w:cstheme="minorHAnsi"/>
          <w:color w:val="000000"/>
        </w:rPr>
        <w:t xml:space="preserve">Atsižvelgiant į </w:t>
      </w:r>
      <w:r w:rsidR="00516711">
        <w:rPr>
          <w:rFonts w:asciiTheme="minorHAnsi" w:hAnsiTheme="minorHAnsi" w:cstheme="minorHAnsi"/>
          <w:color w:val="000000"/>
        </w:rPr>
        <w:t>aukščiau nurodytą</w:t>
      </w:r>
      <w:r w:rsidR="00D767EC">
        <w:rPr>
          <w:rFonts w:asciiTheme="minorHAnsi" w:hAnsiTheme="minorHAnsi" w:cstheme="minorHAnsi"/>
          <w:color w:val="000000"/>
        </w:rPr>
        <w:t xml:space="preserve">, Tarnyba rekomenduoja </w:t>
      </w:r>
      <w:r w:rsidR="00A94A47">
        <w:rPr>
          <w:rFonts w:asciiTheme="minorHAnsi" w:hAnsiTheme="minorHAnsi" w:cstheme="minorHAnsi"/>
          <w:color w:val="000000"/>
        </w:rPr>
        <w:t xml:space="preserve">patikslinti </w:t>
      </w:r>
      <w:r w:rsidR="00406A9D">
        <w:rPr>
          <w:rFonts w:asciiTheme="minorHAnsi" w:hAnsiTheme="minorHAnsi" w:cstheme="minorHAnsi"/>
          <w:color w:val="000000"/>
        </w:rPr>
        <w:t>reikalavim</w:t>
      </w:r>
      <w:r w:rsidR="003E5711">
        <w:rPr>
          <w:rFonts w:asciiTheme="minorHAnsi" w:hAnsiTheme="minorHAnsi" w:cstheme="minorHAnsi"/>
          <w:color w:val="000000"/>
        </w:rPr>
        <w:t xml:space="preserve">o formuluotę, </w:t>
      </w:r>
      <w:r w:rsidR="00515120">
        <w:rPr>
          <w:rFonts w:asciiTheme="minorHAnsi" w:hAnsiTheme="minorHAnsi" w:cstheme="minorHAnsi"/>
          <w:color w:val="000000"/>
        </w:rPr>
        <w:t>vadovaujantis</w:t>
      </w:r>
      <w:r w:rsidR="00A47F04">
        <w:rPr>
          <w:rFonts w:asciiTheme="minorHAnsi" w:hAnsiTheme="minorHAnsi" w:cstheme="minorHAnsi"/>
          <w:color w:val="000000"/>
        </w:rPr>
        <w:t xml:space="preserve"> Tvarkos aprašo 4.3 </w:t>
      </w:r>
      <w:r w:rsidR="007F4A7A">
        <w:rPr>
          <w:rFonts w:asciiTheme="minorHAnsi" w:hAnsiTheme="minorHAnsi" w:cstheme="minorHAnsi"/>
          <w:color w:val="000000"/>
        </w:rPr>
        <w:t>papun</w:t>
      </w:r>
      <w:r w:rsidR="00BE3C0D">
        <w:rPr>
          <w:rFonts w:asciiTheme="minorHAnsi" w:hAnsiTheme="minorHAnsi" w:cstheme="minorHAnsi"/>
          <w:color w:val="000000"/>
        </w:rPr>
        <w:t>kčiu</w:t>
      </w:r>
      <w:r w:rsidR="007F4A7A">
        <w:rPr>
          <w:rFonts w:asciiTheme="minorHAnsi" w:hAnsiTheme="minorHAnsi" w:cstheme="minorHAnsi"/>
          <w:color w:val="000000"/>
        </w:rPr>
        <w:t>.</w:t>
      </w:r>
      <w:r w:rsidR="00DF2BF4">
        <w:rPr>
          <w:rFonts w:asciiTheme="minorHAnsi" w:hAnsiTheme="minorHAnsi" w:cstheme="minorHAnsi"/>
          <w:color w:val="000000"/>
        </w:rPr>
        <w:t xml:space="preserve"> </w:t>
      </w:r>
    </w:p>
    <w:p w14:paraId="143FE09B" w14:textId="77777777" w:rsidR="00D87F2F" w:rsidRPr="00BA576F" w:rsidRDefault="00D87F2F" w:rsidP="00D87F2F">
      <w:pPr>
        <w:pStyle w:val="3lyg"/>
        <w:tabs>
          <w:tab w:val="clear" w:pos="1843"/>
          <w:tab w:val="clear" w:pos="1985"/>
          <w:tab w:val="left" w:pos="284"/>
          <w:tab w:val="left" w:pos="426"/>
        </w:tabs>
        <w:spacing w:line="276" w:lineRule="auto"/>
        <w:ind w:firstLine="0"/>
        <w:jc w:val="left"/>
        <w:rPr>
          <w:rFonts w:asciiTheme="minorHAnsi" w:hAnsiTheme="minorHAnsi" w:cstheme="minorHAnsi"/>
        </w:rPr>
      </w:pPr>
    </w:p>
    <w:p w14:paraId="4B0433B6" w14:textId="77777777" w:rsidR="00FF7BCE" w:rsidRPr="008A40AF" w:rsidRDefault="00FF7BCE" w:rsidP="008A40AF">
      <w:pPr>
        <w:spacing w:line="276" w:lineRule="auto"/>
        <w:rPr>
          <w:rFonts w:cs="Calibri"/>
          <w:bCs/>
          <w:sz w:val="24"/>
          <w:szCs w:val="24"/>
          <w:lang w:val="lt-LT"/>
        </w:rPr>
      </w:pPr>
      <w:r w:rsidRPr="008A40AF">
        <w:rPr>
          <w:rFonts w:cs="Calibri"/>
          <w:sz w:val="24"/>
          <w:szCs w:val="24"/>
        </w:rPr>
        <w:t xml:space="preserve">      </w:t>
      </w:r>
      <w:r w:rsidRPr="008A40AF">
        <w:rPr>
          <w:rFonts w:cs="Calibri"/>
          <w:bCs/>
          <w:sz w:val="24"/>
          <w:szCs w:val="24"/>
          <w:lang w:val="lt-LT"/>
        </w:rPr>
        <w:t xml:space="preserve">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w:t>
      </w:r>
      <w:r w:rsidRPr="008A40AF">
        <w:rPr>
          <w:rFonts w:cs="Calibri"/>
          <w:bCs/>
          <w:sz w:val="24"/>
          <w:szCs w:val="24"/>
          <w:lang w:val="lt-LT"/>
        </w:rPr>
        <w:lastRenderedPageBreak/>
        <w:t>sprendimą dėl tolimesnio Pirkimo procedūrų vykdymo ar nutraukimo priima pati Perkančioji organizacija, vadovaudamasi Įstatymo 29 straipsnio 3</w:t>
      </w:r>
      <w:r w:rsidRPr="008A40AF">
        <w:rPr>
          <w:rFonts w:cs="Calibri"/>
          <w:bCs/>
          <w:sz w:val="24"/>
          <w:szCs w:val="24"/>
          <w:vertAlign w:val="superscript"/>
          <w:lang w:val="lt-LT"/>
        </w:rPr>
        <w:footnoteReference w:id="3"/>
      </w:r>
      <w:r w:rsidRPr="008A40AF">
        <w:rPr>
          <w:rFonts w:cs="Calibri"/>
          <w:bCs/>
          <w:sz w:val="24"/>
          <w:szCs w:val="24"/>
          <w:lang w:val="lt-LT"/>
        </w:rPr>
        <w:t xml:space="preserve"> ir 4</w:t>
      </w:r>
      <w:r w:rsidRPr="008A40AF">
        <w:rPr>
          <w:rFonts w:cs="Calibri"/>
          <w:bCs/>
          <w:sz w:val="24"/>
          <w:szCs w:val="24"/>
          <w:vertAlign w:val="superscript"/>
          <w:lang w:val="lt-LT"/>
        </w:rPr>
        <w:footnoteReference w:id="4"/>
      </w:r>
      <w:r w:rsidRPr="008A40AF">
        <w:rPr>
          <w:rFonts w:cs="Calibri"/>
          <w:bCs/>
          <w:sz w:val="24"/>
          <w:szCs w:val="24"/>
          <w:lang w:val="lt-LT"/>
        </w:rPr>
        <w:t xml:space="preserve"> dalių nuostatomis.</w:t>
      </w:r>
    </w:p>
    <w:p w14:paraId="6EDED2C1" w14:textId="77777777" w:rsidR="00C87E6C" w:rsidRDefault="00C87E6C"/>
    <w:sectPr w:rsidR="00C87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C836" w14:textId="77777777" w:rsidR="00956FB8" w:rsidRDefault="00956FB8" w:rsidP="00FF7BCE">
      <w:pPr>
        <w:spacing w:after="0" w:line="240" w:lineRule="auto"/>
      </w:pPr>
      <w:r>
        <w:separator/>
      </w:r>
    </w:p>
  </w:endnote>
  <w:endnote w:type="continuationSeparator" w:id="0">
    <w:p w14:paraId="4B946135" w14:textId="77777777" w:rsidR="00956FB8" w:rsidRDefault="00956FB8" w:rsidP="00FF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1B0A" w14:textId="77777777" w:rsidR="00956FB8" w:rsidRDefault="00956FB8" w:rsidP="00FF7BCE">
      <w:pPr>
        <w:spacing w:after="0" w:line="240" w:lineRule="auto"/>
      </w:pPr>
      <w:r>
        <w:separator/>
      </w:r>
    </w:p>
  </w:footnote>
  <w:footnote w:type="continuationSeparator" w:id="0">
    <w:p w14:paraId="1AE6A81F" w14:textId="77777777" w:rsidR="00956FB8" w:rsidRDefault="00956FB8" w:rsidP="00FF7BCE">
      <w:pPr>
        <w:spacing w:after="0" w:line="240" w:lineRule="auto"/>
      </w:pPr>
      <w:r>
        <w:continuationSeparator/>
      </w:r>
    </w:p>
  </w:footnote>
  <w:footnote w:id="1">
    <w:p w14:paraId="69FDFE62" w14:textId="37C214D7" w:rsidR="00AB372E" w:rsidRPr="009E3F6A" w:rsidRDefault="00AB372E" w:rsidP="00AB372E">
      <w:pPr>
        <w:pStyle w:val="FootnoteText"/>
        <w:rPr>
          <w:rFonts w:cstheme="minorHAnsi"/>
        </w:rPr>
      </w:pPr>
      <w:r w:rsidRPr="009E3F6A">
        <w:rPr>
          <w:rStyle w:val="FootnoteReference"/>
          <w:rFonts w:ascii="Times New Roman" w:hAnsi="Times New Roman" w:cs="Times New Roman"/>
        </w:rPr>
        <w:footnoteRef/>
      </w:r>
      <w:r w:rsidRPr="009E3F6A">
        <w:rPr>
          <w:rFonts w:ascii="Times New Roman" w:hAnsi="Times New Roman" w:cs="Times New Roman"/>
        </w:rPr>
        <w:t xml:space="preserve"> </w:t>
      </w:r>
      <w:r w:rsidRPr="009E3F6A">
        <w:rPr>
          <w:rFonts w:cstheme="minorHAnsi"/>
        </w:rPr>
        <w:t>Tarnybos direktoriaus 2017 m. birželio 21 d. įsakymu Nr. 1S-92 patvirtinto Skelbimų teikimo Viešųjų pirkimų tarnybai tvarkos ir reikalavimų skelbiamai supaprastintų pirkimų informacijai aprašo 12 punkto lentelės 12.21 papunktis dėl skelbimo II.2.7 dalies pildymo</w:t>
      </w:r>
      <w:r w:rsidR="009E3F6A" w:rsidRPr="009E3F6A">
        <w:rPr>
          <w:rFonts w:cstheme="minorHAnsi"/>
        </w:rPr>
        <w:t>.</w:t>
      </w:r>
    </w:p>
  </w:footnote>
  <w:footnote w:id="2">
    <w:p w14:paraId="6F0CE1AA" w14:textId="77777777" w:rsidR="000E7EE7" w:rsidRPr="006E74C3" w:rsidRDefault="000E7EE7" w:rsidP="000E7EE7">
      <w:pPr>
        <w:pStyle w:val="FootnoteText"/>
        <w:tabs>
          <w:tab w:val="left" w:pos="284"/>
        </w:tabs>
        <w:jc w:val="both"/>
        <w:rPr>
          <w:rFonts w:cstheme="minorHAnsi"/>
        </w:rPr>
      </w:pPr>
      <w:r w:rsidRPr="00C80296">
        <w:rPr>
          <w:rStyle w:val="FootnoteReference"/>
          <w:rFonts w:ascii="Times New Roman" w:hAnsi="Times New Roman" w:cs="Times New Roman"/>
        </w:rPr>
        <w:footnoteRef/>
      </w:r>
      <w:r w:rsidRPr="00C80296">
        <w:rPr>
          <w:rFonts w:ascii="Times New Roman" w:hAnsi="Times New Roman" w:cs="Times New Roman"/>
        </w:rPr>
        <w:t xml:space="preserve"> </w:t>
      </w:r>
      <w:r w:rsidRPr="006E74C3">
        <w:rPr>
          <w:rFonts w:eastAsia="Times New Roman" w:cstheme="minorHAnsi"/>
        </w:rPr>
        <w:t>Patvirtinta Viešųjų pirkimų tarnybos direktoriaus 2017 m. birželio 29 d. įsakymu Nr. 1S-105 „Dėl Tiekėjo kvalifikacijos reikalavimų nustatymo metodikos patvirtinimo“ (aktuali redakcija).</w:t>
      </w:r>
    </w:p>
  </w:footnote>
  <w:footnote w:id="3">
    <w:p w14:paraId="0AD99D81" w14:textId="77777777" w:rsidR="00FF7BCE" w:rsidRPr="008A40AF" w:rsidRDefault="00FF7BCE" w:rsidP="00FF7BCE">
      <w:pPr>
        <w:pStyle w:val="FootnoteText"/>
        <w:jc w:val="both"/>
        <w:rPr>
          <w:rFonts w:cstheme="minorHAnsi"/>
        </w:rPr>
      </w:pPr>
      <w:r>
        <w:rPr>
          <w:rStyle w:val="FootnoteReference"/>
          <w:rFonts w:ascii="Times New Roman" w:hAnsi="Times New Roman"/>
        </w:rPr>
        <w:footnoteRef/>
      </w:r>
      <w:r>
        <w:rPr>
          <w:rFonts w:ascii="Times New Roman" w:hAnsi="Times New Roman"/>
        </w:rPr>
        <w:t xml:space="preserve"> </w:t>
      </w:r>
      <w:r w:rsidRPr="008A40AF">
        <w:rPr>
          <w:rFonts w:cstheme="minorHAnsi"/>
          <w:i/>
          <w:iCs/>
        </w:rPr>
        <w:t>„</w:t>
      </w:r>
      <w:r w:rsidRPr="008A40AF">
        <w:rPr>
          <w:rFonts w:cstheme="minorHAnsi"/>
          <w:bCs/>
          <w:color w:val="000000"/>
        </w:rPr>
        <w:t>Perkančioji</w:t>
      </w:r>
      <w:r w:rsidRPr="008A40AF">
        <w:rPr>
          <w:rFonts w:cstheme="minorHAnsi"/>
          <w:color w:val="000000"/>
        </w:rPr>
        <w:t xml:space="preserve"> organizacija privalo </w:t>
      </w:r>
      <w:r w:rsidRPr="008A40AF">
        <w:rPr>
          <w:rFonts w:cstheme="minorHAnsi"/>
          <w:bCs/>
          <w:color w:val="000000"/>
        </w:rPr>
        <w:t>nutraukti pradėtas pirkimo ar projekto konkurso procedūras</w:t>
      </w:r>
      <w:r w:rsidRPr="008A40AF">
        <w:rPr>
          <w:rFonts w:cstheme="minorHAnsi"/>
          <w:color w:val="000000"/>
        </w:rPr>
        <w:t>, jeigu buvo pažeisti šio įstatymo 17 straipsnio 1 dalyje nustatyti principai ir atitinkamos padėties negalima ištaisyti.“</w:t>
      </w:r>
    </w:p>
  </w:footnote>
  <w:footnote w:id="4">
    <w:p w14:paraId="597C1EC0" w14:textId="77777777" w:rsidR="00FF7BCE" w:rsidRDefault="00FF7BCE" w:rsidP="00FF7BCE">
      <w:pPr>
        <w:pStyle w:val="FootnoteText"/>
        <w:jc w:val="both"/>
        <w:rPr>
          <w:rFonts w:cs="Calibri"/>
          <w:i/>
          <w:iCs/>
        </w:rPr>
      </w:pPr>
      <w:r w:rsidRPr="008A40AF">
        <w:rPr>
          <w:rStyle w:val="FootnoteReference"/>
          <w:rFonts w:cstheme="minorHAnsi"/>
        </w:rPr>
        <w:footnoteRef/>
      </w:r>
      <w:r w:rsidRPr="008A40AF">
        <w:rPr>
          <w:rFonts w:cstheme="minorHAnsi"/>
        </w:rPr>
        <w:t>„</w:t>
      </w:r>
      <w:r w:rsidRPr="008A40AF">
        <w:rPr>
          <w:rFonts w:cstheme="minorHAnsi"/>
          <w:bCs/>
          <w:color w:val="000000"/>
        </w:rPr>
        <w:t xml:space="preserve">Perkančioji organizacija turi teisę savo iniciatyva nutraukti pradėtas pirkimo ar projekto konkurso procedūras, jeigu atsirado aplinkybių, kurių nebuvo galima numatyti, arba </w:t>
      </w:r>
      <w:r w:rsidRPr="008A40AF">
        <w:rPr>
          <w:rFonts w:cstheme="minorHAns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D55"/>
    <w:multiLevelType w:val="multilevel"/>
    <w:tmpl w:val="AE5460CA"/>
    <w:lvl w:ilvl="0">
      <w:start w:val="1"/>
      <w:numFmt w:val="decimal"/>
      <w:lvlText w:val="%1."/>
      <w:lvlJc w:val="left"/>
      <w:pPr>
        <w:ind w:left="720" w:hanging="360"/>
      </w:pPr>
    </w:lvl>
    <w:lvl w:ilvl="1">
      <w:start w:val="1"/>
      <w:numFmt w:val="decimal"/>
      <w:isLgl/>
      <w:lvlText w:val="%1.%2."/>
      <w:lvlJc w:val="left"/>
      <w:pPr>
        <w:ind w:left="1139" w:hanging="430"/>
      </w:pPr>
      <w:rPr>
        <w:rFonts w:ascii="Calibri" w:eastAsia="Calibri" w:hAnsi="Calibri" w:cs="Calibri" w:hint="default"/>
        <w:b/>
        <w:sz w:val="24"/>
      </w:rPr>
    </w:lvl>
    <w:lvl w:ilvl="2">
      <w:start w:val="1"/>
      <w:numFmt w:val="decimal"/>
      <w:isLgl/>
      <w:lvlText w:val="%1.%2.%3."/>
      <w:lvlJc w:val="left"/>
      <w:pPr>
        <w:ind w:left="1778" w:hanging="720"/>
      </w:pPr>
      <w:rPr>
        <w:rFonts w:ascii="Calibri" w:eastAsia="Calibri" w:hAnsi="Calibri" w:cs="Calibri" w:hint="default"/>
        <w:b/>
        <w:sz w:val="24"/>
      </w:rPr>
    </w:lvl>
    <w:lvl w:ilvl="3">
      <w:start w:val="1"/>
      <w:numFmt w:val="decimal"/>
      <w:isLgl/>
      <w:lvlText w:val="%1.%2.%3.%4."/>
      <w:lvlJc w:val="left"/>
      <w:pPr>
        <w:ind w:left="2127" w:hanging="720"/>
      </w:pPr>
      <w:rPr>
        <w:rFonts w:ascii="Calibri" w:eastAsia="Calibri" w:hAnsi="Calibri" w:cs="Calibri" w:hint="default"/>
        <w:b/>
        <w:sz w:val="24"/>
      </w:rPr>
    </w:lvl>
    <w:lvl w:ilvl="4">
      <w:start w:val="1"/>
      <w:numFmt w:val="decimal"/>
      <w:isLgl/>
      <w:lvlText w:val="%1.%2.%3.%4.%5."/>
      <w:lvlJc w:val="left"/>
      <w:pPr>
        <w:ind w:left="2836" w:hanging="1080"/>
      </w:pPr>
      <w:rPr>
        <w:rFonts w:ascii="Calibri" w:eastAsia="Calibri" w:hAnsi="Calibri" w:cs="Calibri" w:hint="default"/>
        <w:b/>
        <w:sz w:val="24"/>
      </w:rPr>
    </w:lvl>
    <w:lvl w:ilvl="5">
      <w:start w:val="1"/>
      <w:numFmt w:val="decimal"/>
      <w:isLgl/>
      <w:lvlText w:val="%1.%2.%3.%4.%5.%6."/>
      <w:lvlJc w:val="left"/>
      <w:pPr>
        <w:ind w:left="3185" w:hanging="1080"/>
      </w:pPr>
      <w:rPr>
        <w:rFonts w:ascii="Calibri" w:eastAsia="Calibri" w:hAnsi="Calibri" w:cs="Calibri" w:hint="default"/>
        <w:b/>
        <w:sz w:val="24"/>
      </w:rPr>
    </w:lvl>
    <w:lvl w:ilvl="6">
      <w:start w:val="1"/>
      <w:numFmt w:val="decimal"/>
      <w:isLgl/>
      <w:lvlText w:val="%1.%2.%3.%4.%5.%6.%7."/>
      <w:lvlJc w:val="left"/>
      <w:pPr>
        <w:ind w:left="3894" w:hanging="1440"/>
      </w:pPr>
      <w:rPr>
        <w:rFonts w:ascii="Calibri" w:eastAsia="Calibri" w:hAnsi="Calibri" w:cs="Calibri" w:hint="default"/>
        <w:b/>
        <w:sz w:val="24"/>
      </w:rPr>
    </w:lvl>
    <w:lvl w:ilvl="7">
      <w:start w:val="1"/>
      <w:numFmt w:val="decimal"/>
      <w:isLgl/>
      <w:lvlText w:val="%1.%2.%3.%4.%5.%6.%7.%8."/>
      <w:lvlJc w:val="left"/>
      <w:pPr>
        <w:ind w:left="4243" w:hanging="1440"/>
      </w:pPr>
      <w:rPr>
        <w:rFonts w:ascii="Calibri" w:eastAsia="Calibri" w:hAnsi="Calibri" w:cs="Calibri" w:hint="default"/>
        <w:b/>
        <w:sz w:val="24"/>
      </w:rPr>
    </w:lvl>
    <w:lvl w:ilvl="8">
      <w:start w:val="1"/>
      <w:numFmt w:val="decimal"/>
      <w:isLgl/>
      <w:lvlText w:val="%1.%2.%3.%4.%5.%6.%7.%8.%9."/>
      <w:lvlJc w:val="left"/>
      <w:pPr>
        <w:ind w:left="4952" w:hanging="1800"/>
      </w:pPr>
      <w:rPr>
        <w:rFonts w:ascii="Calibri" w:eastAsia="Calibri" w:hAnsi="Calibri" w:cs="Calibri" w:hint="default"/>
        <w:b/>
        <w:sz w:val="24"/>
      </w:rPr>
    </w:lvl>
  </w:abstractNum>
  <w:abstractNum w:abstractNumId="1" w15:restartNumberingAfterBreak="0">
    <w:nsid w:val="3B987E2B"/>
    <w:multiLevelType w:val="multilevel"/>
    <w:tmpl w:val="5992A172"/>
    <w:lvl w:ilvl="0">
      <w:start w:val="4"/>
      <w:numFmt w:val="decimal"/>
      <w:lvlText w:val="%1."/>
      <w:lvlJc w:val="left"/>
      <w:pPr>
        <w:ind w:left="360" w:hanging="360"/>
      </w:pPr>
      <w:rPr>
        <w:rFonts w:hint="default"/>
        <w:b/>
        <w:bCs w:val="0"/>
        <w:sz w:val="24"/>
        <w:szCs w:val="24"/>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49D4AB0"/>
    <w:multiLevelType w:val="hybridMultilevel"/>
    <w:tmpl w:val="EBEA1D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81D16"/>
    <w:multiLevelType w:val="hybridMultilevel"/>
    <w:tmpl w:val="276E0844"/>
    <w:lvl w:ilvl="0" w:tplc="22B61B56">
      <w:start w:val="1"/>
      <w:numFmt w:val="decimal"/>
      <w:lvlText w:val="%1."/>
      <w:lvlJc w:val="left"/>
      <w:pPr>
        <w:ind w:left="1069" w:hanging="360"/>
      </w:pPr>
      <w:rPr>
        <w:rFonts w:ascii="Calibri" w:eastAsia="Times New Roman" w:hAnsi="Calibri" w:cs="Calibri" w:hint="default"/>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81450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912200">
    <w:abstractNumId w:val="3"/>
  </w:num>
  <w:num w:numId="3" w16cid:durableId="729227190">
    <w:abstractNumId w:val="1"/>
  </w:num>
  <w:num w:numId="4" w16cid:durableId="214102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2C"/>
    <w:rsid w:val="0000103E"/>
    <w:rsid w:val="00033FC0"/>
    <w:rsid w:val="00046750"/>
    <w:rsid w:val="000473F0"/>
    <w:rsid w:val="0006420D"/>
    <w:rsid w:val="000915AF"/>
    <w:rsid w:val="000B7F04"/>
    <w:rsid w:val="000E7EE7"/>
    <w:rsid w:val="001022BE"/>
    <w:rsid w:val="00134303"/>
    <w:rsid w:val="001356D9"/>
    <w:rsid w:val="001A7AEF"/>
    <w:rsid w:val="001C0BD1"/>
    <w:rsid w:val="001C773E"/>
    <w:rsid w:val="001D59F2"/>
    <w:rsid w:val="001F7AAC"/>
    <w:rsid w:val="00225ACB"/>
    <w:rsid w:val="0024013E"/>
    <w:rsid w:val="00240900"/>
    <w:rsid w:val="00276DEB"/>
    <w:rsid w:val="00286131"/>
    <w:rsid w:val="002C40AF"/>
    <w:rsid w:val="00341821"/>
    <w:rsid w:val="00342F18"/>
    <w:rsid w:val="003776F4"/>
    <w:rsid w:val="00385014"/>
    <w:rsid w:val="003909BD"/>
    <w:rsid w:val="003B110E"/>
    <w:rsid w:val="003E5711"/>
    <w:rsid w:val="003F79CB"/>
    <w:rsid w:val="00406A9D"/>
    <w:rsid w:val="00423EFA"/>
    <w:rsid w:val="00434561"/>
    <w:rsid w:val="004445CB"/>
    <w:rsid w:val="00446B56"/>
    <w:rsid w:val="004576E4"/>
    <w:rsid w:val="0047173A"/>
    <w:rsid w:val="00476C2C"/>
    <w:rsid w:val="00480FE5"/>
    <w:rsid w:val="004D4D58"/>
    <w:rsid w:val="004E2BC7"/>
    <w:rsid w:val="004F4DFC"/>
    <w:rsid w:val="005122E3"/>
    <w:rsid w:val="00515120"/>
    <w:rsid w:val="005163C7"/>
    <w:rsid w:val="00516711"/>
    <w:rsid w:val="005225DD"/>
    <w:rsid w:val="005242A0"/>
    <w:rsid w:val="00532D6C"/>
    <w:rsid w:val="00557723"/>
    <w:rsid w:val="005C68D8"/>
    <w:rsid w:val="00615B11"/>
    <w:rsid w:val="00621927"/>
    <w:rsid w:val="00634C44"/>
    <w:rsid w:val="00643774"/>
    <w:rsid w:val="00643998"/>
    <w:rsid w:val="00651DB9"/>
    <w:rsid w:val="00661852"/>
    <w:rsid w:val="006960A4"/>
    <w:rsid w:val="006B3742"/>
    <w:rsid w:val="006C2018"/>
    <w:rsid w:val="006D159D"/>
    <w:rsid w:val="006E74C3"/>
    <w:rsid w:val="00717102"/>
    <w:rsid w:val="007276B9"/>
    <w:rsid w:val="007408FF"/>
    <w:rsid w:val="00752551"/>
    <w:rsid w:val="007A5D2F"/>
    <w:rsid w:val="007B0D96"/>
    <w:rsid w:val="007C0376"/>
    <w:rsid w:val="007D1CC9"/>
    <w:rsid w:val="007D451E"/>
    <w:rsid w:val="007E1048"/>
    <w:rsid w:val="007E45E7"/>
    <w:rsid w:val="007E5C68"/>
    <w:rsid w:val="007F1D4E"/>
    <w:rsid w:val="007F4A7A"/>
    <w:rsid w:val="008334E4"/>
    <w:rsid w:val="008718D4"/>
    <w:rsid w:val="008771E8"/>
    <w:rsid w:val="00887368"/>
    <w:rsid w:val="008A082A"/>
    <w:rsid w:val="008A40AF"/>
    <w:rsid w:val="008C2BA2"/>
    <w:rsid w:val="008F6EEB"/>
    <w:rsid w:val="009033DF"/>
    <w:rsid w:val="00924185"/>
    <w:rsid w:val="009501F2"/>
    <w:rsid w:val="00956FB8"/>
    <w:rsid w:val="0099258A"/>
    <w:rsid w:val="00993A2D"/>
    <w:rsid w:val="009B77F0"/>
    <w:rsid w:val="009D1AA0"/>
    <w:rsid w:val="009E3F6A"/>
    <w:rsid w:val="009F6F60"/>
    <w:rsid w:val="00A11B2D"/>
    <w:rsid w:val="00A147F2"/>
    <w:rsid w:val="00A37369"/>
    <w:rsid w:val="00A44F84"/>
    <w:rsid w:val="00A47F04"/>
    <w:rsid w:val="00A94A47"/>
    <w:rsid w:val="00AB372E"/>
    <w:rsid w:val="00AB53B6"/>
    <w:rsid w:val="00AD31DA"/>
    <w:rsid w:val="00B0100B"/>
    <w:rsid w:val="00B132FA"/>
    <w:rsid w:val="00B2401B"/>
    <w:rsid w:val="00BA576F"/>
    <w:rsid w:val="00BA7E1B"/>
    <w:rsid w:val="00BD7FE3"/>
    <w:rsid w:val="00BE3C0D"/>
    <w:rsid w:val="00BE7569"/>
    <w:rsid w:val="00BF7663"/>
    <w:rsid w:val="00C2717D"/>
    <w:rsid w:val="00C40998"/>
    <w:rsid w:val="00C61F63"/>
    <w:rsid w:val="00C87E6C"/>
    <w:rsid w:val="00CC7927"/>
    <w:rsid w:val="00CE2F81"/>
    <w:rsid w:val="00D10FCF"/>
    <w:rsid w:val="00D132D6"/>
    <w:rsid w:val="00D26B7B"/>
    <w:rsid w:val="00D767EC"/>
    <w:rsid w:val="00D87F2F"/>
    <w:rsid w:val="00DC27CA"/>
    <w:rsid w:val="00DE62AE"/>
    <w:rsid w:val="00DF2B85"/>
    <w:rsid w:val="00DF2BF4"/>
    <w:rsid w:val="00E1460F"/>
    <w:rsid w:val="00E166FA"/>
    <w:rsid w:val="00E353AF"/>
    <w:rsid w:val="00E37A51"/>
    <w:rsid w:val="00E73810"/>
    <w:rsid w:val="00E85761"/>
    <w:rsid w:val="00EB1FB5"/>
    <w:rsid w:val="00ED6296"/>
    <w:rsid w:val="00ED798A"/>
    <w:rsid w:val="00EE4542"/>
    <w:rsid w:val="00F41F99"/>
    <w:rsid w:val="00F60EE4"/>
    <w:rsid w:val="00F94B4B"/>
    <w:rsid w:val="00FF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C9C6"/>
  <w15:chartTrackingRefBased/>
  <w15:docId w15:val="{ED841271-FD60-47C3-89E6-3673C917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C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BCE"/>
    <w:rPr>
      <w:color w:val="0563C1" w:themeColor="hyperlink"/>
      <w:u w:val="single"/>
    </w:rPr>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qFormat/>
    <w:locked/>
    <w:rsid w:val="00FF7BCE"/>
    <w:rPr>
      <w:sz w:val="20"/>
      <w:szCs w:val="20"/>
    </w:rPr>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fn,FT, Diagrama1"/>
    <w:basedOn w:val="Normal"/>
    <w:link w:val="FootnoteTextChar"/>
    <w:uiPriority w:val="99"/>
    <w:unhideWhenUsed/>
    <w:qFormat/>
    <w:rsid w:val="00FF7BCE"/>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F7BCE"/>
    <w:rPr>
      <w:rFonts w:ascii="Calibri" w:eastAsia="Calibri" w:hAnsi="Calibri" w:cs="Times New Roman"/>
      <w:sz w:val="20"/>
      <w:szCs w:val="20"/>
    </w:rPr>
  </w:style>
  <w:style w:type="paragraph" w:styleId="ListParagraph">
    <w:name w:val="List Paragraph"/>
    <w:basedOn w:val="Normal"/>
    <w:uiPriority w:val="34"/>
    <w:qFormat/>
    <w:rsid w:val="00FF7BCE"/>
    <w:pPr>
      <w:ind w:left="720"/>
      <w:contextualSpacing/>
    </w:p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F7BCE"/>
    <w:rPr>
      <w:vertAlign w:val="superscript"/>
    </w:rPr>
  </w:style>
  <w:style w:type="character" w:customStyle="1" w:styleId="cf01">
    <w:name w:val="cf01"/>
    <w:basedOn w:val="DefaultParagraphFont"/>
    <w:rsid w:val="00FF7BCE"/>
    <w:rPr>
      <w:rFonts w:ascii="Segoe UI" w:hAnsi="Segoe UI" w:cs="Segoe UI" w:hint="default"/>
      <w:sz w:val="18"/>
      <w:szCs w:val="18"/>
    </w:rPr>
  </w:style>
  <w:style w:type="paragraph" w:customStyle="1" w:styleId="3lyg">
    <w:name w:val="3 lyg"/>
    <w:basedOn w:val="Normal"/>
    <w:link w:val="3lygDiagrama"/>
    <w:qFormat/>
    <w:rsid w:val="00C2717D"/>
    <w:pPr>
      <w:tabs>
        <w:tab w:val="num" w:pos="1843"/>
        <w:tab w:val="left" w:pos="1985"/>
      </w:tabs>
      <w:spacing w:after="0" w:line="240" w:lineRule="auto"/>
      <w:ind w:firstLine="851"/>
      <w:jc w:val="both"/>
      <w:outlineLvl w:val="2"/>
    </w:pPr>
    <w:rPr>
      <w:rFonts w:ascii="Times New Roman" w:eastAsia="Times New Roman" w:hAnsi="Times New Roman"/>
      <w:bCs/>
      <w:kern w:val="0"/>
      <w:sz w:val="24"/>
      <w:szCs w:val="24"/>
      <w:lang w:val="lt-LT" w:eastAsia="lt-LT"/>
      <w14:ligatures w14:val="none"/>
    </w:rPr>
  </w:style>
  <w:style w:type="character" w:customStyle="1" w:styleId="3lygDiagrama">
    <w:name w:val="3 lyg Diagrama"/>
    <w:link w:val="3lyg"/>
    <w:rsid w:val="00C2717D"/>
    <w:rPr>
      <w:rFonts w:ascii="Times New Roman" w:eastAsia="Times New Roman" w:hAnsi="Times New Roman" w:cs="Times New Roman"/>
      <w:bCs/>
      <w:kern w:val="0"/>
      <w:sz w:val="24"/>
      <w:szCs w:val="24"/>
      <w:lang w:val="lt-LT" w:eastAsia="lt-LT"/>
      <w14:ligatures w14:val="none"/>
    </w:rPr>
  </w:style>
  <w:style w:type="paragraph" w:styleId="Revision">
    <w:name w:val="Revision"/>
    <w:hidden/>
    <w:uiPriority w:val="99"/>
    <w:semiHidden/>
    <w:rsid w:val="00DF2BF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F2BF4"/>
    <w:rPr>
      <w:sz w:val="16"/>
      <w:szCs w:val="16"/>
    </w:rPr>
  </w:style>
  <w:style w:type="paragraph" w:styleId="CommentText">
    <w:name w:val="annotation text"/>
    <w:basedOn w:val="Normal"/>
    <w:link w:val="CommentTextChar"/>
    <w:uiPriority w:val="99"/>
    <w:unhideWhenUsed/>
    <w:rsid w:val="00DF2BF4"/>
    <w:pPr>
      <w:spacing w:line="240" w:lineRule="auto"/>
    </w:pPr>
    <w:rPr>
      <w:sz w:val="20"/>
      <w:szCs w:val="20"/>
    </w:rPr>
  </w:style>
  <w:style w:type="character" w:customStyle="1" w:styleId="CommentTextChar">
    <w:name w:val="Comment Text Char"/>
    <w:basedOn w:val="DefaultParagraphFont"/>
    <w:link w:val="CommentText"/>
    <w:uiPriority w:val="99"/>
    <w:rsid w:val="00DF2B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2BF4"/>
    <w:rPr>
      <w:b/>
      <w:bCs/>
    </w:rPr>
  </w:style>
  <w:style w:type="character" w:customStyle="1" w:styleId="CommentSubjectChar">
    <w:name w:val="Comment Subject Char"/>
    <w:basedOn w:val="CommentTextChar"/>
    <w:link w:val="CommentSubject"/>
    <w:uiPriority w:val="99"/>
    <w:semiHidden/>
    <w:rsid w:val="00DF2B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1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886</Words>
  <Characters>5051</Characters>
  <Application>Microsoft Office Word</Application>
  <DocSecurity>0</DocSecurity>
  <Lines>42</Lines>
  <Paragraphs>11</Paragraphs>
  <ScaleCrop>false</ScaleCrop>
  <Company>VPT</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14</cp:revision>
  <dcterms:created xsi:type="dcterms:W3CDTF">2024-03-06T08:07:00Z</dcterms:created>
  <dcterms:modified xsi:type="dcterms:W3CDTF">2024-03-18T05:23:00Z</dcterms:modified>
</cp:coreProperties>
</file>