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61074" w14:textId="77777777" w:rsidR="00B727BA" w:rsidRPr="00085291" w:rsidRDefault="00B727BA" w:rsidP="00C57C2E">
      <w:pPr>
        <w:tabs>
          <w:tab w:val="left" w:pos="851"/>
          <w:tab w:val="left" w:pos="993"/>
          <w:tab w:val="left" w:pos="1134"/>
        </w:tabs>
        <w:spacing w:line="276" w:lineRule="auto"/>
        <w:ind w:firstLine="567"/>
        <w:rPr>
          <w:rFonts w:asciiTheme="minorHAnsi" w:hAnsiTheme="minorHAnsi" w:cstheme="minorHAnsi"/>
          <w:sz w:val="24"/>
          <w:szCs w:val="24"/>
          <w:lang w:eastAsia="lt-LT"/>
        </w:rPr>
      </w:pPr>
      <w:r w:rsidRPr="00085291">
        <w:rPr>
          <w:rFonts w:asciiTheme="minorHAnsi" w:hAnsiTheme="minorHAnsi" w:cstheme="minorHAnsi"/>
          <w:sz w:val="24"/>
          <w:szCs w:val="24"/>
          <w:lang w:eastAsia="lt-LT"/>
        </w:rPr>
        <w:t>Viešųjų pirkimų tarnyba (toliau – Tarnyba), vadovaudamasi Lietuvos Respublikos viešųjų pirkimų įstatymo (toliau – Įstatymas) 95 straipsnio 1 dalies 2 punkto nuostatomis, vykdo Įstatymo ir su jo įgyvendinimu susijusių teisės aktų pažeidimų prevenciją.</w:t>
      </w:r>
    </w:p>
    <w:p w14:paraId="19C87BC1" w14:textId="6836CF82" w:rsidR="006D0A1A" w:rsidRPr="00085291" w:rsidRDefault="006D0A1A" w:rsidP="00C57C2E">
      <w:pPr>
        <w:tabs>
          <w:tab w:val="left" w:pos="851"/>
          <w:tab w:val="left" w:pos="993"/>
          <w:tab w:val="left" w:pos="1134"/>
        </w:tabs>
        <w:spacing w:line="276" w:lineRule="auto"/>
        <w:ind w:firstLine="567"/>
        <w:rPr>
          <w:rFonts w:asciiTheme="minorHAnsi" w:eastAsia="Calibri" w:hAnsiTheme="minorHAnsi" w:cstheme="minorHAnsi"/>
          <w:sz w:val="24"/>
          <w:szCs w:val="24"/>
        </w:rPr>
      </w:pPr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Vadovaujantis Tarnybai Įstatyme nustatyta pažeidimų prevencijos funkcija, šiuo metu atliekama </w:t>
      </w:r>
      <w:bookmarkStart w:id="0" w:name="_Hlk100304143"/>
      <w:r w:rsidR="001F7AD3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>Mažeikių rajono</w:t>
      </w:r>
      <w:r w:rsidR="00204047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9E357B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>savivaldybės administracijos</w:t>
      </w:r>
      <w:r w:rsidR="006F0150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085291">
        <w:rPr>
          <w:rFonts w:asciiTheme="minorHAnsi" w:eastAsia="Calibri" w:hAnsiTheme="minorHAnsi" w:cstheme="minorHAnsi"/>
          <w:sz w:val="24"/>
          <w:szCs w:val="24"/>
        </w:rPr>
        <w:t>(toliau – Perkan</w:t>
      </w:r>
      <w:r w:rsidR="00B727BA" w:rsidRPr="00085291">
        <w:rPr>
          <w:rFonts w:asciiTheme="minorHAnsi" w:eastAsia="Calibri" w:hAnsiTheme="minorHAnsi" w:cstheme="minorHAnsi"/>
          <w:sz w:val="24"/>
          <w:szCs w:val="24"/>
        </w:rPr>
        <w:t>čioji organizacija</w:t>
      </w:r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) vykdomo pirkimo </w:t>
      </w:r>
      <w:r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>„</w:t>
      </w:r>
      <w:r w:rsidR="00A107D3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>Mažeikių rajono savivaldybės privažiuojamųjų kelių prie daugiabučių namų ir jų kiemų, automobilių stovėjimo aikštelių bei sporto aikštynų paprastasis remontas ir priežiūra</w:t>
      </w:r>
      <w:r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“, Nr. </w:t>
      </w:r>
      <w:bookmarkEnd w:id="0"/>
      <w:r w:rsidR="00A107D3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>708085</w:t>
      </w:r>
      <w:r w:rsidR="009C1FBC" w:rsidRPr="00085291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Pr="00085291">
        <w:rPr>
          <w:rFonts w:asciiTheme="minorHAnsi" w:eastAsia="Calibri" w:hAnsiTheme="minorHAnsi" w:cstheme="minorHAnsi"/>
          <w:sz w:val="24"/>
          <w:szCs w:val="24"/>
        </w:rPr>
        <w:t>(toliau – Pirkimas) dokumentų atitikties Įstatymui ir su jo įgyvendinimu susijusiems teisės aktams peržiūra (peržiūra prevenciniais tikslais atliekama tam tikra apimtimi).</w:t>
      </w:r>
    </w:p>
    <w:p w14:paraId="45F9EA94" w14:textId="380F0EF0" w:rsidR="004A50DD" w:rsidRPr="00085291" w:rsidRDefault="00ED5023" w:rsidP="00C57C2E">
      <w:pPr>
        <w:tabs>
          <w:tab w:val="left" w:pos="851"/>
          <w:tab w:val="left" w:pos="993"/>
          <w:tab w:val="left" w:pos="1134"/>
        </w:tabs>
        <w:spacing w:line="276" w:lineRule="auto"/>
        <w:ind w:firstLine="567"/>
        <w:rPr>
          <w:rFonts w:asciiTheme="minorHAnsi" w:hAnsiTheme="minorHAnsi" w:cstheme="minorHAnsi"/>
          <w:sz w:val="24"/>
          <w:szCs w:val="24"/>
        </w:rPr>
      </w:pPr>
      <w:bookmarkStart w:id="1" w:name="_Hlk100304177"/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Prevencine tvarka peržiūrėjusi Pirkimo dokumentus, atsižvelgdama į </w:t>
      </w:r>
      <w:r w:rsidR="00B93881" w:rsidRPr="00085291">
        <w:rPr>
          <w:rFonts w:asciiTheme="minorHAnsi" w:eastAsia="Calibri" w:hAnsiTheme="minorHAnsi" w:cstheme="minorHAnsi"/>
          <w:sz w:val="24"/>
          <w:szCs w:val="24"/>
        </w:rPr>
        <w:t xml:space="preserve">galiojantį </w:t>
      </w:r>
      <w:r w:rsidRPr="00085291">
        <w:rPr>
          <w:rFonts w:asciiTheme="minorHAnsi" w:eastAsia="Calibri" w:hAnsiTheme="minorHAnsi" w:cstheme="minorHAnsi"/>
          <w:sz w:val="24"/>
          <w:szCs w:val="24"/>
        </w:rPr>
        <w:t>teisinį reglamentavimą</w:t>
      </w:r>
      <w:r w:rsidR="00AD1F5E" w:rsidRPr="00085291">
        <w:rPr>
          <w:rFonts w:asciiTheme="minorHAnsi" w:eastAsia="Calibri" w:hAnsiTheme="minorHAnsi" w:cstheme="minorHAnsi"/>
          <w:sz w:val="24"/>
          <w:szCs w:val="24"/>
        </w:rPr>
        <w:t xml:space="preserve"> ir</w:t>
      </w:r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 Pirkimo sąlygose nustatytus reikalavimus, Tarnyba teiki</w:t>
      </w:r>
      <w:r w:rsidR="000D3342" w:rsidRPr="00085291">
        <w:rPr>
          <w:rFonts w:asciiTheme="minorHAnsi" w:eastAsia="Calibri" w:hAnsiTheme="minorHAnsi" w:cstheme="minorHAnsi"/>
          <w:sz w:val="24"/>
          <w:szCs w:val="24"/>
        </w:rPr>
        <w:t>a</w:t>
      </w:r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218FB" w:rsidRPr="00085291">
        <w:rPr>
          <w:rFonts w:asciiTheme="minorHAnsi" w:eastAsia="Calibri" w:hAnsiTheme="minorHAnsi" w:cstheme="minorHAnsi"/>
          <w:sz w:val="24"/>
          <w:szCs w:val="24"/>
        </w:rPr>
        <w:t>pastab</w:t>
      </w:r>
      <w:r w:rsidR="00231B94" w:rsidRPr="00085291">
        <w:rPr>
          <w:rFonts w:asciiTheme="minorHAnsi" w:eastAsia="Calibri" w:hAnsiTheme="minorHAnsi" w:cstheme="minorHAnsi"/>
          <w:sz w:val="24"/>
          <w:szCs w:val="24"/>
        </w:rPr>
        <w:t>ą</w:t>
      </w:r>
      <w:r w:rsidR="006218FB" w:rsidRPr="00085291">
        <w:rPr>
          <w:rFonts w:asciiTheme="minorHAnsi" w:eastAsia="Calibri" w:hAnsiTheme="minorHAnsi" w:cstheme="minorHAnsi"/>
          <w:sz w:val="24"/>
          <w:szCs w:val="24"/>
        </w:rPr>
        <w:t xml:space="preserve"> ir </w:t>
      </w:r>
      <w:r w:rsidRPr="00085291">
        <w:rPr>
          <w:rFonts w:asciiTheme="minorHAnsi" w:eastAsia="Calibri" w:hAnsiTheme="minorHAnsi" w:cstheme="minorHAnsi"/>
          <w:sz w:val="24"/>
          <w:szCs w:val="24"/>
        </w:rPr>
        <w:t>rekomendacij</w:t>
      </w:r>
      <w:r w:rsidR="00231B94" w:rsidRPr="00085291">
        <w:rPr>
          <w:rFonts w:asciiTheme="minorHAnsi" w:eastAsia="Calibri" w:hAnsiTheme="minorHAnsi" w:cstheme="minorHAnsi"/>
          <w:sz w:val="24"/>
          <w:szCs w:val="24"/>
        </w:rPr>
        <w:t>ą</w:t>
      </w:r>
      <w:r w:rsidRPr="00085291">
        <w:rPr>
          <w:rFonts w:asciiTheme="minorHAnsi" w:eastAsia="Calibri" w:hAnsiTheme="minorHAnsi" w:cstheme="minorHAnsi"/>
          <w:sz w:val="24"/>
          <w:szCs w:val="24"/>
        </w:rPr>
        <w:t xml:space="preserve"> </w:t>
      </w:r>
      <w:bookmarkEnd w:id="1"/>
      <w:r w:rsidR="00231B94" w:rsidRPr="00085291">
        <w:rPr>
          <w:rFonts w:asciiTheme="minorHAnsi" w:eastAsia="Calibri" w:hAnsiTheme="minorHAnsi" w:cstheme="minorHAnsi"/>
          <w:sz w:val="24"/>
          <w:szCs w:val="24"/>
        </w:rPr>
        <w:t xml:space="preserve">dėl </w:t>
      </w:r>
      <w:r w:rsidR="00786FCE" w:rsidRPr="00085291">
        <w:rPr>
          <w:rFonts w:asciiTheme="minorHAnsi" w:hAnsiTheme="minorHAnsi" w:cstheme="minorHAnsi"/>
          <w:sz w:val="24"/>
          <w:szCs w:val="24"/>
        </w:rPr>
        <w:t xml:space="preserve">specialiųjų </w:t>
      </w:r>
      <w:r w:rsidR="0007225E" w:rsidRPr="00085291">
        <w:rPr>
          <w:rFonts w:asciiTheme="minorHAnsi" w:hAnsiTheme="minorHAnsi" w:cstheme="minorHAnsi"/>
          <w:sz w:val="24"/>
          <w:szCs w:val="24"/>
        </w:rPr>
        <w:t xml:space="preserve">Pirkimo sąlygų </w:t>
      </w:r>
      <w:r w:rsidR="00786FCE" w:rsidRPr="00085291">
        <w:rPr>
          <w:rFonts w:asciiTheme="minorHAnsi" w:hAnsiTheme="minorHAnsi" w:cstheme="minorHAnsi"/>
          <w:sz w:val="24"/>
          <w:szCs w:val="24"/>
        </w:rPr>
        <w:t>5.1</w:t>
      </w:r>
      <w:r w:rsidR="0007225E" w:rsidRPr="00085291">
        <w:rPr>
          <w:rFonts w:asciiTheme="minorHAnsi" w:hAnsiTheme="minorHAnsi" w:cstheme="minorHAnsi"/>
          <w:sz w:val="24"/>
          <w:szCs w:val="24"/>
        </w:rPr>
        <w:t xml:space="preserve"> papunk</w:t>
      </w:r>
      <w:r w:rsidR="009C1FBC" w:rsidRPr="00085291">
        <w:rPr>
          <w:rFonts w:asciiTheme="minorHAnsi" w:hAnsiTheme="minorHAnsi" w:cstheme="minorHAnsi"/>
          <w:sz w:val="24"/>
          <w:szCs w:val="24"/>
        </w:rPr>
        <w:t>tyje nustatyt</w:t>
      </w:r>
      <w:r w:rsidR="00C57C2E" w:rsidRPr="00085291">
        <w:rPr>
          <w:rFonts w:asciiTheme="minorHAnsi" w:hAnsiTheme="minorHAnsi" w:cstheme="minorHAnsi"/>
          <w:sz w:val="24"/>
          <w:szCs w:val="24"/>
        </w:rPr>
        <w:t>os sąlygos</w:t>
      </w:r>
      <w:r w:rsidR="009C1FBC" w:rsidRPr="00085291">
        <w:rPr>
          <w:rFonts w:asciiTheme="minorHAnsi" w:hAnsiTheme="minorHAnsi" w:cstheme="minorHAnsi"/>
          <w:sz w:val="24"/>
          <w:szCs w:val="24"/>
        </w:rPr>
        <w:t xml:space="preserve">, kad </w:t>
      </w:r>
      <w:r w:rsidR="009C1FBC" w:rsidRPr="00085291">
        <w:rPr>
          <w:rFonts w:asciiTheme="minorHAnsi" w:hAnsiTheme="minorHAnsi" w:cstheme="minorHAnsi"/>
          <w:i/>
          <w:iCs/>
          <w:sz w:val="24"/>
          <w:szCs w:val="24"/>
        </w:rPr>
        <w:t>„</w:t>
      </w:r>
      <w:r w:rsidR="0038760A" w:rsidRPr="000852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Pirkimo taikomos Reglamento nuostatos</w:t>
      </w:r>
      <w:r w:rsidR="0038760A" w:rsidRPr="00085291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1C0953" w:rsidRPr="00085291">
        <w:rPr>
          <w:rFonts w:asciiTheme="minorHAnsi" w:hAnsiTheme="minorHAnsi" w:cstheme="minorHAnsi"/>
          <w:i/>
          <w:iCs/>
          <w:sz w:val="24"/>
          <w:szCs w:val="24"/>
        </w:rPr>
        <w:t>Kartu su pasiūlymu tiekėjas turi pateikti užpildytą deklaraciją dėl (ne)atitikties Reglamento nuostatoms, kuri pateikta specialiųjų pirkimo sąlygų 8 ir/ar 9 priede. Kilus abejonių dėl tiekėjo (ne)atitikties Reglamento nuostatoms, perkančioji organizacija iš galimo laimėtojo prašys pateikti dokumentus, įrodančius deklaracijoje pateiktų duomenų teisingumą</w:t>
      </w:r>
      <w:r w:rsidR="009C1FBC" w:rsidRPr="00085291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9C1FBC" w:rsidRPr="000852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667D14B" w14:textId="7105A7CE" w:rsidR="003A16FC" w:rsidRPr="00085291" w:rsidRDefault="0007225E" w:rsidP="00C57C2E">
      <w:pPr>
        <w:pStyle w:val="paragraph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textAlignment w:val="baseline"/>
        <w:rPr>
          <w:rFonts w:asciiTheme="minorHAnsi" w:hAnsiTheme="minorHAnsi" w:cstheme="minorHAnsi"/>
          <w:lang w:val="lt-LT"/>
        </w:rPr>
      </w:pPr>
      <w:r w:rsidRPr="00085291">
        <w:rPr>
          <w:rFonts w:asciiTheme="minorHAnsi" w:hAnsiTheme="minorHAnsi" w:cstheme="minorHAnsi"/>
          <w:lang w:val="lt-LT"/>
        </w:rPr>
        <w:t xml:space="preserve">Tarnyba pažymi, kad Europos Sąjungos Tarybos 2022 m. balandžio 8 d. reglamente (ES) 2022/576 (toliau – Reglamentas) nustatyti draudimai taikomi tik tiems pirkimams, kuriems taikomos Reglamente nurodytos direktyvos, t. y., </w:t>
      </w:r>
      <w:r w:rsidRPr="00085291">
        <w:rPr>
          <w:rFonts w:asciiTheme="minorHAnsi" w:hAnsiTheme="minorHAnsi" w:cstheme="minorHAnsi"/>
          <w:u w:val="single"/>
          <w:lang w:val="lt-LT"/>
        </w:rPr>
        <w:t>tik</w:t>
      </w:r>
      <w:r w:rsidR="003A16FC" w:rsidRPr="00085291">
        <w:rPr>
          <w:rFonts w:asciiTheme="minorHAnsi" w:hAnsiTheme="minorHAnsi" w:cstheme="minorHAnsi"/>
          <w:u w:val="single"/>
          <w:lang w:val="lt-LT"/>
        </w:rPr>
        <w:t xml:space="preserve"> </w:t>
      </w:r>
      <w:r w:rsidRPr="00085291">
        <w:rPr>
          <w:rFonts w:asciiTheme="minorHAnsi" w:hAnsiTheme="minorHAnsi" w:cstheme="minorHAnsi"/>
          <w:u w:val="single"/>
          <w:lang w:val="lt-LT"/>
        </w:rPr>
        <w:t>tarptautinės vertės pirkimams</w:t>
      </w:r>
      <w:r w:rsidRPr="00085291">
        <w:rPr>
          <w:rFonts w:asciiTheme="minorHAnsi" w:hAnsiTheme="minorHAnsi" w:cstheme="minorHAnsi"/>
          <w:lang w:val="lt-LT"/>
        </w:rPr>
        <w:t>, tai reiškia, kad Reglamente nustatyti apribojimai nėra taikomi supaprastintuose (įskaitant mažos vertės) pirkimuose</w:t>
      </w:r>
      <w:r w:rsidR="004A50DD" w:rsidRPr="00085291">
        <w:rPr>
          <w:rFonts w:asciiTheme="minorHAnsi" w:hAnsiTheme="minorHAnsi" w:cstheme="minorHAnsi"/>
          <w:lang w:val="lt-LT"/>
        </w:rPr>
        <w:t xml:space="preserve"> (platesnė informacija nurodyta Tarnybos parengtame pranešime dėl Reglamento taikymo viešuosiuose pirkimuose: </w:t>
      </w:r>
      <w:hyperlink r:id="rId8" w:history="1">
        <w:r w:rsidR="00313858" w:rsidRPr="00085291">
          <w:rPr>
            <w:rStyle w:val="Hyperlink"/>
            <w:rFonts w:asciiTheme="minorHAnsi" w:hAnsiTheme="minorHAnsi" w:cstheme="minorHAnsi"/>
            <w:lang w:val="lt-LT"/>
          </w:rPr>
          <w:t>VPT atnaujina informaciją dėl Tarybos reglamento (ES) 2022/576 taikymo viešuosiuose pirkimuose - Viešųjų pirkimų tarnyba (lrv.lt)</w:t>
        </w:r>
      </w:hyperlink>
      <w:hyperlink r:id="rId9" w:history="1"/>
      <w:r w:rsidR="004A50DD" w:rsidRPr="00085291">
        <w:rPr>
          <w:rFonts w:asciiTheme="minorHAnsi" w:hAnsiTheme="minorHAnsi" w:cstheme="minorHAnsi"/>
          <w:lang w:val="lt-LT"/>
        </w:rPr>
        <w:t>.</w:t>
      </w:r>
      <w:r w:rsidR="003A16FC" w:rsidRPr="00085291">
        <w:rPr>
          <w:rFonts w:asciiTheme="minorHAnsi" w:hAnsiTheme="minorHAnsi" w:cstheme="minorHAnsi"/>
          <w:lang w:val="lt-LT"/>
        </w:rPr>
        <w:t xml:space="preserve"> </w:t>
      </w:r>
    </w:p>
    <w:p w14:paraId="26FCB229" w14:textId="7AC67105" w:rsidR="00691347" w:rsidRPr="00085291" w:rsidRDefault="0007225E" w:rsidP="002E6219">
      <w:pPr>
        <w:pStyle w:val="paragraph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textAlignment w:val="baseline"/>
        <w:rPr>
          <w:rFonts w:asciiTheme="minorHAnsi" w:eastAsia="Calibri" w:hAnsiTheme="minorHAnsi" w:cstheme="minorHAnsi"/>
          <w:lang w:val="lt-LT"/>
        </w:rPr>
      </w:pPr>
      <w:r w:rsidRPr="00085291">
        <w:rPr>
          <w:rFonts w:asciiTheme="minorHAnsi" w:hAnsiTheme="minorHAnsi" w:cstheme="minorHAnsi"/>
          <w:lang w:val="lt-LT"/>
        </w:rPr>
        <w:t>Atsižvelg</w:t>
      </w:r>
      <w:r w:rsidR="002C4605" w:rsidRPr="00085291">
        <w:rPr>
          <w:rFonts w:asciiTheme="minorHAnsi" w:hAnsiTheme="minorHAnsi" w:cstheme="minorHAnsi"/>
          <w:lang w:val="lt-LT"/>
        </w:rPr>
        <w:t>dama</w:t>
      </w:r>
      <w:r w:rsidR="0009453F" w:rsidRPr="00085291">
        <w:rPr>
          <w:rFonts w:asciiTheme="minorHAnsi" w:hAnsiTheme="minorHAnsi" w:cstheme="minorHAnsi"/>
          <w:lang w:val="lt-LT"/>
        </w:rPr>
        <w:t xml:space="preserve"> </w:t>
      </w:r>
      <w:r w:rsidRPr="00085291">
        <w:rPr>
          <w:rFonts w:asciiTheme="minorHAnsi" w:hAnsiTheme="minorHAnsi" w:cstheme="minorHAnsi"/>
          <w:lang w:val="lt-LT"/>
        </w:rPr>
        <w:t>į tai, ka</w:t>
      </w:r>
      <w:r w:rsidR="004A50DD" w:rsidRPr="00085291">
        <w:rPr>
          <w:rFonts w:asciiTheme="minorHAnsi" w:hAnsiTheme="minorHAnsi" w:cstheme="minorHAnsi"/>
          <w:lang w:val="lt-LT"/>
        </w:rPr>
        <w:t xml:space="preserve">d vykdomas supaprastintas pirkimas, </w:t>
      </w:r>
      <w:r w:rsidRPr="00085291">
        <w:rPr>
          <w:rFonts w:asciiTheme="minorHAnsi" w:hAnsiTheme="minorHAnsi" w:cstheme="minorHAnsi"/>
          <w:lang w:val="lt-LT"/>
        </w:rPr>
        <w:t xml:space="preserve">Tarnyba rekomenduoja </w:t>
      </w:r>
      <w:r w:rsidR="003A16FC" w:rsidRPr="00085291">
        <w:rPr>
          <w:rFonts w:asciiTheme="minorHAnsi" w:hAnsiTheme="minorHAnsi" w:cstheme="minorHAnsi"/>
          <w:lang w:val="lt-LT"/>
        </w:rPr>
        <w:t>atsisakyti</w:t>
      </w:r>
      <w:r w:rsidR="005B5523" w:rsidRPr="00085291">
        <w:rPr>
          <w:rFonts w:asciiTheme="minorHAnsi" w:hAnsiTheme="minorHAnsi" w:cstheme="minorHAnsi"/>
          <w:lang w:val="lt-LT"/>
        </w:rPr>
        <w:t xml:space="preserve"> </w:t>
      </w:r>
      <w:r w:rsidR="00B05403" w:rsidRPr="00085291">
        <w:rPr>
          <w:rFonts w:asciiTheme="minorHAnsi" w:hAnsiTheme="minorHAnsi" w:cstheme="minorHAnsi"/>
          <w:lang w:val="lt-LT"/>
        </w:rPr>
        <w:t>pirmiau</w:t>
      </w:r>
      <w:r w:rsidR="005B5523" w:rsidRPr="00085291">
        <w:rPr>
          <w:rFonts w:asciiTheme="minorHAnsi" w:hAnsiTheme="minorHAnsi" w:cstheme="minorHAnsi"/>
          <w:lang w:val="lt-LT"/>
        </w:rPr>
        <w:t xml:space="preserve"> nurodyt</w:t>
      </w:r>
      <w:r w:rsidR="00203AA7" w:rsidRPr="00085291">
        <w:rPr>
          <w:rFonts w:asciiTheme="minorHAnsi" w:hAnsiTheme="minorHAnsi" w:cstheme="minorHAnsi"/>
          <w:lang w:val="lt-LT"/>
        </w:rPr>
        <w:t>os</w:t>
      </w:r>
      <w:r w:rsidR="005B5523" w:rsidRPr="00085291">
        <w:rPr>
          <w:rFonts w:asciiTheme="minorHAnsi" w:hAnsiTheme="minorHAnsi" w:cstheme="minorHAnsi"/>
          <w:lang w:val="lt-LT"/>
        </w:rPr>
        <w:t xml:space="preserve"> Pirkimo sąlyg</w:t>
      </w:r>
      <w:r w:rsidR="00203AA7" w:rsidRPr="00085291">
        <w:rPr>
          <w:rFonts w:asciiTheme="minorHAnsi" w:hAnsiTheme="minorHAnsi" w:cstheme="minorHAnsi"/>
          <w:lang w:val="lt-LT"/>
        </w:rPr>
        <w:t>os</w:t>
      </w:r>
      <w:r w:rsidR="002E6219" w:rsidRPr="00085291">
        <w:rPr>
          <w:rFonts w:asciiTheme="minorHAnsi" w:hAnsiTheme="minorHAnsi" w:cstheme="minorHAnsi"/>
          <w:lang w:val="lt-LT"/>
        </w:rPr>
        <w:t xml:space="preserve">, taip pat </w:t>
      </w:r>
      <w:r w:rsidR="00691347" w:rsidRPr="00085291">
        <w:rPr>
          <w:rFonts w:asciiTheme="minorHAnsi" w:eastAsia="Calibri" w:hAnsiTheme="minorHAnsi" w:cstheme="minorHAnsi"/>
          <w:lang w:val="lt-LT"/>
        </w:rPr>
        <w:t>rekomenduoja patikslinti Pirkimo dokumentus pagal šioje rekomendacijoje pateikt</w:t>
      </w:r>
      <w:r w:rsidR="0005643B" w:rsidRPr="00085291">
        <w:rPr>
          <w:rFonts w:asciiTheme="minorHAnsi" w:eastAsia="Calibri" w:hAnsiTheme="minorHAnsi" w:cstheme="minorHAnsi"/>
          <w:lang w:val="lt-LT"/>
        </w:rPr>
        <w:t>ą</w:t>
      </w:r>
      <w:r w:rsidR="00691347" w:rsidRPr="00085291">
        <w:rPr>
          <w:rFonts w:asciiTheme="minorHAnsi" w:eastAsia="Calibri" w:hAnsiTheme="minorHAnsi" w:cstheme="minorHAnsi"/>
          <w:lang w:val="lt-LT"/>
        </w:rPr>
        <w:t xml:space="preserve"> pastab</w:t>
      </w:r>
      <w:r w:rsidR="0005643B" w:rsidRPr="00085291">
        <w:rPr>
          <w:rFonts w:asciiTheme="minorHAnsi" w:eastAsia="Calibri" w:hAnsiTheme="minorHAnsi" w:cstheme="minorHAnsi"/>
          <w:lang w:val="lt-LT"/>
        </w:rPr>
        <w:t>ą</w:t>
      </w:r>
      <w:r w:rsidR="00691347" w:rsidRPr="00085291">
        <w:rPr>
          <w:rFonts w:asciiTheme="minorHAnsi" w:eastAsia="Calibri" w:hAnsiTheme="minorHAnsi" w:cstheme="minorHAnsi"/>
          <w:lang w:val="lt-LT"/>
        </w:rPr>
        <w:t xml:space="preserve"> ir nukelti pasiūlymų pateikimo terminą protingam laikotarpiui, per kurį potencialūs tiekėjai galėtų susipažinti su patikslintomis</w:t>
      </w:r>
      <w:r w:rsidR="008D4594" w:rsidRPr="00085291">
        <w:rPr>
          <w:rFonts w:asciiTheme="minorHAnsi" w:eastAsia="Calibri" w:hAnsiTheme="minorHAnsi" w:cstheme="minorHAnsi"/>
          <w:lang w:val="lt-LT"/>
        </w:rPr>
        <w:t xml:space="preserve"> ir pakeistomis</w:t>
      </w:r>
      <w:r w:rsidR="00691347" w:rsidRPr="00085291">
        <w:rPr>
          <w:rFonts w:asciiTheme="minorHAnsi" w:eastAsia="Calibri" w:hAnsiTheme="minorHAnsi" w:cstheme="minorHAnsi"/>
          <w:lang w:val="lt-LT"/>
        </w:rPr>
        <w:t xml:space="preserve"> Pirkimo sąlygomis. Primename, kad Perkančioji organizacija, patikslinusi Pirkimo dokumentus, turi visus pakeitimus paskelbti viešai Centrinėje viešųjų pirkimų informacinėje sistemoje (CVP IS). </w:t>
      </w:r>
    </w:p>
    <w:p w14:paraId="7CBF076E" w14:textId="478D0956" w:rsidR="003326B2" w:rsidRPr="00085291" w:rsidRDefault="003326B2" w:rsidP="00C57C2E">
      <w:pPr>
        <w:tabs>
          <w:tab w:val="left" w:pos="851"/>
          <w:tab w:val="left" w:pos="993"/>
        </w:tabs>
        <w:spacing w:line="276" w:lineRule="auto"/>
        <w:ind w:firstLine="567"/>
        <w:rPr>
          <w:rFonts w:asciiTheme="minorHAnsi" w:eastAsia="Calibri" w:hAnsiTheme="minorHAnsi" w:cstheme="minorHAnsi"/>
          <w:sz w:val="24"/>
          <w:szCs w:val="24"/>
        </w:rPr>
      </w:pPr>
    </w:p>
    <w:p w14:paraId="08AC042F" w14:textId="4A292DAE" w:rsidR="003326B2" w:rsidRPr="00085291" w:rsidRDefault="003326B2" w:rsidP="00C57C2E">
      <w:pPr>
        <w:tabs>
          <w:tab w:val="left" w:pos="993"/>
        </w:tabs>
        <w:spacing w:line="276" w:lineRule="auto"/>
        <w:ind w:firstLine="567"/>
        <w:rPr>
          <w:rFonts w:asciiTheme="minorHAnsi" w:eastAsia="Calibri" w:hAnsiTheme="minorHAnsi" w:cstheme="minorHAnsi"/>
          <w:sz w:val="24"/>
          <w:szCs w:val="24"/>
        </w:rPr>
      </w:pPr>
    </w:p>
    <w:p w14:paraId="28CA454D" w14:textId="77777777" w:rsidR="003326B2" w:rsidRPr="00085291" w:rsidRDefault="003326B2" w:rsidP="00C57C2E">
      <w:pPr>
        <w:tabs>
          <w:tab w:val="left" w:pos="993"/>
        </w:tabs>
        <w:spacing w:line="276" w:lineRule="auto"/>
        <w:ind w:firstLine="567"/>
        <w:rPr>
          <w:rFonts w:asciiTheme="minorHAnsi" w:eastAsia="Calibri" w:hAnsiTheme="minorHAnsi" w:cstheme="minorHAnsi"/>
          <w:sz w:val="24"/>
          <w:szCs w:val="24"/>
        </w:rPr>
      </w:pPr>
    </w:p>
    <w:sectPr w:rsidR="003326B2" w:rsidRPr="00085291" w:rsidSect="00C0729A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840" w14:textId="77777777" w:rsidR="00DC65EB" w:rsidRDefault="00DC65EB" w:rsidP="00E77C8C">
      <w:r>
        <w:separator/>
      </w:r>
    </w:p>
  </w:endnote>
  <w:endnote w:type="continuationSeparator" w:id="0">
    <w:p w14:paraId="23BCC866" w14:textId="77777777" w:rsidR="00DC65EB" w:rsidRDefault="00DC65EB" w:rsidP="00E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5577" w14:textId="77777777" w:rsidR="00DC65EB" w:rsidRDefault="00DC65EB" w:rsidP="00E77C8C">
      <w:r>
        <w:separator/>
      </w:r>
    </w:p>
  </w:footnote>
  <w:footnote w:type="continuationSeparator" w:id="0">
    <w:p w14:paraId="45B2D530" w14:textId="77777777" w:rsidR="00DC65EB" w:rsidRDefault="00DC65EB" w:rsidP="00E7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983567"/>
    <w:multiLevelType w:val="hybridMultilevel"/>
    <w:tmpl w:val="DD1E7A9A"/>
    <w:lvl w:ilvl="0" w:tplc="28AC9C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8585F"/>
    <w:multiLevelType w:val="multilevel"/>
    <w:tmpl w:val="FED24C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A75FC6"/>
    <w:multiLevelType w:val="multilevel"/>
    <w:tmpl w:val="69FC67F0"/>
    <w:lvl w:ilvl="0">
      <w:start w:val="1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7766817"/>
    <w:multiLevelType w:val="hybridMultilevel"/>
    <w:tmpl w:val="80629090"/>
    <w:lvl w:ilvl="0" w:tplc="E892D8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375B06"/>
    <w:multiLevelType w:val="multilevel"/>
    <w:tmpl w:val="62C6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E656E3"/>
    <w:multiLevelType w:val="hybridMultilevel"/>
    <w:tmpl w:val="847AAE9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1D521F"/>
    <w:multiLevelType w:val="multilevel"/>
    <w:tmpl w:val="7E922F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C063C36"/>
    <w:multiLevelType w:val="hybridMultilevel"/>
    <w:tmpl w:val="71BCC600"/>
    <w:lvl w:ilvl="0" w:tplc="FA0E7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D71"/>
    <w:multiLevelType w:val="hybridMultilevel"/>
    <w:tmpl w:val="39168028"/>
    <w:lvl w:ilvl="0" w:tplc="B2CAA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2399"/>
    <w:multiLevelType w:val="multilevel"/>
    <w:tmpl w:val="CD2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E343F7"/>
    <w:multiLevelType w:val="multilevel"/>
    <w:tmpl w:val="5C581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829BF"/>
    <w:multiLevelType w:val="hybridMultilevel"/>
    <w:tmpl w:val="1190473C"/>
    <w:lvl w:ilvl="0" w:tplc="CA0CBAB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F19594B"/>
    <w:multiLevelType w:val="multilevel"/>
    <w:tmpl w:val="1EC259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CC03028"/>
    <w:multiLevelType w:val="multilevel"/>
    <w:tmpl w:val="671034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D0B5E3E"/>
    <w:multiLevelType w:val="hybridMultilevel"/>
    <w:tmpl w:val="60981152"/>
    <w:lvl w:ilvl="0" w:tplc="DE7006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F4C2A"/>
    <w:multiLevelType w:val="multilevel"/>
    <w:tmpl w:val="1D9EA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142425369">
    <w:abstractNumId w:val="2"/>
  </w:num>
  <w:num w:numId="2" w16cid:durableId="273367635">
    <w:abstractNumId w:val="9"/>
  </w:num>
  <w:num w:numId="3" w16cid:durableId="1267468504">
    <w:abstractNumId w:val="10"/>
  </w:num>
  <w:num w:numId="4" w16cid:durableId="388770007">
    <w:abstractNumId w:val="5"/>
  </w:num>
  <w:num w:numId="5" w16cid:durableId="1255821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646002">
    <w:abstractNumId w:val="8"/>
  </w:num>
  <w:num w:numId="7" w16cid:durableId="1713965976">
    <w:abstractNumId w:val="0"/>
  </w:num>
  <w:num w:numId="8" w16cid:durableId="324624900">
    <w:abstractNumId w:val="6"/>
  </w:num>
  <w:num w:numId="9" w16cid:durableId="390613060">
    <w:abstractNumId w:val="13"/>
  </w:num>
  <w:num w:numId="10" w16cid:durableId="531768754">
    <w:abstractNumId w:val="16"/>
  </w:num>
  <w:num w:numId="11" w16cid:durableId="1761103864">
    <w:abstractNumId w:val="3"/>
  </w:num>
  <w:num w:numId="12" w16cid:durableId="899436442">
    <w:abstractNumId w:val="7"/>
  </w:num>
  <w:num w:numId="13" w16cid:durableId="897086934">
    <w:abstractNumId w:val="14"/>
  </w:num>
  <w:num w:numId="14" w16cid:durableId="1102339751">
    <w:abstractNumId w:val="12"/>
  </w:num>
  <w:num w:numId="15" w16cid:durableId="451749909">
    <w:abstractNumId w:val="4"/>
  </w:num>
  <w:num w:numId="16" w16cid:durableId="651952433">
    <w:abstractNumId w:val="11"/>
  </w:num>
  <w:num w:numId="17" w16cid:durableId="722481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49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C8"/>
    <w:rsid w:val="000005F1"/>
    <w:rsid w:val="000008B9"/>
    <w:rsid w:val="000017D2"/>
    <w:rsid w:val="00005A1E"/>
    <w:rsid w:val="00011ACD"/>
    <w:rsid w:val="000133C3"/>
    <w:rsid w:val="000138D2"/>
    <w:rsid w:val="00014D53"/>
    <w:rsid w:val="00017D27"/>
    <w:rsid w:val="00021138"/>
    <w:rsid w:val="000218DB"/>
    <w:rsid w:val="00023343"/>
    <w:rsid w:val="000260B4"/>
    <w:rsid w:val="00043E49"/>
    <w:rsid w:val="00050557"/>
    <w:rsid w:val="000525D3"/>
    <w:rsid w:val="00052FB1"/>
    <w:rsid w:val="000536C2"/>
    <w:rsid w:val="00055D50"/>
    <w:rsid w:val="0005643B"/>
    <w:rsid w:val="00062419"/>
    <w:rsid w:val="00062B2C"/>
    <w:rsid w:val="0007225E"/>
    <w:rsid w:val="00072A93"/>
    <w:rsid w:val="000767E9"/>
    <w:rsid w:val="0008263F"/>
    <w:rsid w:val="000851E7"/>
    <w:rsid w:val="00085291"/>
    <w:rsid w:val="00091845"/>
    <w:rsid w:val="0009453F"/>
    <w:rsid w:val="000B1453"/>
    <w:rsid w:val="000B2170"/>
    <w:rsid w:val="000B6DB1"/>
    <w:rsid w:val="000B74FD"/>
    <w:rsid w:val="000C03AE"/>
    <w:rsid w:val="000C08D4"/>
    <w:rsid w:val="000C2703"/>
    <w:rsid w:val="000C2DE1"/>
    <w:rsid w:val="000D0491"/>
    <w:rsid w:val="000D19FA"/>
    <w:rsid w:val="000D2D34"/>
    <w:rsid w:val="000D322D"/>
    <w:rsid w:val="000D3342"/>
    <w:rsid w:val="000F41F2"/>
    <w:rsid w:val="000F6E42"/>
    <w:rsid w:val="00104253"/>
    <w:rsid w:val="00113B4C"/>
    <w:rsid w:val="00114D8D"/>
    <w:rsid w:val="00121EBC"/>
    <w:rsid w:val="00124966"/>
    <w:rsid w:val="00133800"/>
    <w:rsid w:val="00142BA9"/>
    <w:rsid w:val="001432E7"/>
    <w:rsid w:val="00144A1A"/>
    <w:rsid w:val="001525AA"/>
    <w:rsid w:val="0015407E"/>
    <w:rsid w:val="00157723"/>
    <w:rsid w:val="00160AEB"/>
    <w:rsid w:val="00162427"/>
    <w:rsid w:val="00171E2D"/>
    <w:rsid w:val="00175641"/>
    <w:rsid w:val="001763C5"/>
    <w:rsid w:val="0017681E"/>
    <w:rsid w:val="0017753B"/>
    <w:rsid w:val="00186E83"/>
    <w:rsid w:val="001930BF"/>
    <w:rsid w:val="001A6AB4"/>
    <w:rsid w:val="001B2C9F"/>
    <w:rsid w:val="001B6F87"/>
    <w:rsid w:val="001B7B65"/>
    <w:rsid w:val="001C0953"/>
    <w:rsid w:val="001C180C"/>
    <w:rsid w:val="001C1F23"/>
    <w:rsid w:val="001C3337"/>
    <w:rsid w:val="001C4D26"/>
    <w:rsid w:val="001C69EB"/>
    <w:rsid w:val="001C7757"/>
    <w:rsid w:val="001D2776"/>
    <w:rsid w:val="001D6BA0"/>
    <w:rsid w:val="001E0D9C"/>
    <w:rsid w:val="001E48AF"/>
    <w:rsid w:val="001F112C"/>
    <w:rsid w:val="001F468D"/>
    <w:rsid w:val="001F7AD3"/>
    <w:rsid w:val="0020002A"/>
    <w:rsid w:val="0020042D"/>
    <w:rsid w:val="002007D7"/>
    <w:rsid w:val="00200F87"/>
    <w:rsid w:val="00203AA7"/>
    <w:rsid w:val="00204047"/>
    <w:rsid w:val="00205E38"/>
    <w:rsid w:val="00207BD9"/>
    <w:rsid w:val="00210242"/>
    <w:rsid w:val="002141FA"/>
    <w:rsid w:val="00217B60"/>
    <w:rsid w:val="00220B7B"/>
    <w:rsid w:val="00231001"/>
    <w:rsid w:val="00231B94"/>
    <w:rsid w:val="00231F25"/>
    <w:rsid w:val="002353C7"/>
    <w:rsid w:val="0024224A"/>
    <w:rsid w:val="002444CC"/>
    <w:rsid w:val="00255017"/>
    <w:rsid w:val="00255F44"/>
    <w:rsid w:val="002560B2"/>
    <w:rsid w:val="00260852"/>
    <w:rsid w:val="002665CE"/>
    <w:rsid w:val="00266ABF"/>
    <w:rsid w:val="002778FD"/>
    <w:rsid w:val="00282AE4"/>
    <w:rsid w:val="002831AB"/>
    <w:rsid w:val="00285C60"/>
    <w:rsid w:val="0029221F"/>
    <w:rsid w:val="00294F30"/>
    <w:rsid w:val="002A73AC"/>
    <w:rsid w:val="002A7B9A"/>
    <w:rsid w:val="002C3455"/>
    <w:rsid w:val="002C4605"/>
    <w:rsid w:val="002C5DAC"/>
    <w:rsid w:val="002D5DB9"/>
    <w:rsid w:val="002E0CFA"/>
    <w:rsid w:val="002E0FC2"/>
    <w:rsid w:val="002E1191"/>
    <w:rsid w:val="002E27E7"/>
    <w:rsid w:val="002E3232"/>
    <w:rsid w:val="002E6219"/>
    <w:rsid w:val="002E7249"/>
    <w:rsid w:val="002E77C2"/>
    <w:rsid w:val="002F04FE"/>
    <w:rsid w:val="002F1B70"/>
    <w:rsid w:val="002F3173"/>
    <w:rsid w:val="002F62C6"/>
    <w:rsid w:val="002F782B"/>
    <w:rsid w:val="0030219F"/>
    <w:rsid w:val="00310108"/>
    <w:rsid w:val="00310A63"/>
    <w:rsid w:val="00311486"/>
    <w:rsid w:val="0031156E"/>
    <w:rsid w:val="00313858"/>
    <w:rsid w:val="00317AD2"/>
    <w:rsid w:val="00317F43"/>
    <w:rsid w:val="003219F9"/>
    <w:rsid w:val="003236B2"/>
    <w:rsid w:val="003243B6"/>
    <w:rsid w:val="00327101"/>
    <w:rsid w:val="00331D8C"/>
    <w:rsid w:val="003326B2"/>
    <w:rsid w:val="003330E3"/>
    <w:rsid w:val="003337DD"/>
    <w:rsid w:val="00336453"/>
    <w:rsid w:val="00344CA8"/>
    <w:rsid w:val="00347B93"/>
    <w:rsid w:val="00351F15"/>
    <w:rsid w:val="00354302"/>
    <w:rsid w:val="003618A9"/>
    <w:rsid w:val="00363C7C"/>
    <w:rsid w:val="003643AE"/>
    <w:rsid w:val="00366BBD"/>
    <w:rsid w:val="00371942"/>
    <w:rsid w:val="00373724"/>
    <w:rsid w:val="00374541"/>
    <w:rsid w:val="00375180"/>
    <w:rsid w:val="00383424"/>
    <w:rsid w:val="0038374B"/>
    <w:rsid w:val="0038760A"/>
    <w:rsid w:val="00391D66"/>
    <w:rsid w:val="00393D4C"/>
    <w:rsid w:val="0039576E"/>
    <w:rsid w:val="003A16FC"/>
    <w:rsid w:val="003A73F2"/>
    <w:rsid w:val="003B2347"/>
    <w:rsid w:val="003B3A00"/>
    <w:rsid w:val="003B705A"/>
    <w:rsid w:val="003B7750"/>
    <w:rsid w:val="003C17D3"/>
    <w:rsid w:val="003C2162"/>
    <w:rsid w:val="003C241A"/>
    <w:rsid w:val="003D0703"/>
    <w:rsid w:val="003D259A"/>
    <w:rsid w:val="003E57E0"/>
    <w:rsid w:val="003F36E1"/>
    <w:rsid w:val="003F383E"/>
    <w:rsid w:val="004047D6"/>
    <w:rsid w:val="00406631"/>
    <w:rsid w:val="00410206"/>
    <w:rsid w:val="004145DE"/>
    <w:rsid w:val="0041526B"/>
    <w:rsid w:val="00417E54"/>
    <w:rsid w:val="0042032F"/>
    <w:rsid w:val="00425840"/>
    <w:rsid w:val="0042699C"/>
    <w:rsid w:val="004317CC"/>
    <w:rsid w:val="004343F2"/>
    <w:rsid w:val="0043640C"/>
    <w:rsid w:val="00437995"/>
    <w:rsid w:val="00441E9F"/>
    <w:rsid w:val="004420DE"/>
    <w:rsid w:val="00443805"/>
    <w:rsid w:val="004478F6"/>
    <w:rsid w:val="00447D49"/>
    <w:rsid w:val="00451C8C"/>
    <w:rsid w:val="00462C70"/>
    <w:rsid w:val="00470FA5"/>
    <w:rsid w:val="00487F56"/>
    <w:rsid w:val="00497B00"/>
    <w:rsid w:val="00497DCC"/>
    <w:rsid w:val="004A4731"/>
    <w:rsid w:val="004A50DD"/>
    <w:rsid w:val="004A74DA"/>
    <w:rsid w:val="004A75AC"/>
    <w:rsid w:val="004B2BEE"/>
    <w:rsid w:val="004C1597"/>
    <w:rsid w:val="004C40F6"/>
    <w:rsid w:val="004E013F"/>
    <w:rsid w:val="004E081D"/>
    <w:rsid w:val="004E3F9C"/>
    <w:rsid w:val="004E6806"/>
    <w:rsid w:val="004F13D1"/>
    <w:rsid w:val="004F23D1"/>
    <w:rsid w:val="004F2D99"/>
    <w:rsid w:val="004F3896"/>
    <w:rsid w:val="004F3FC6"/>
    <w:rsid w:val="004F4FD4"/>
    <w:rsid w:val="004F728F"/>
    <w:rsid w:val="00500BF5"/>
    <w:rsid w:val="0050603A"/>
    <w:rsid w:val="005123C8"/>
    <w:rsid w:val="00520672"/>
    <w:rsid w:val="00537A83"/>
    <w:rsid w:val="00545C9E"/>
    <w:rsid w:val="00547F89"/>
    <w:rsid w:val="00553643"/>
    <w:rsid w:val="00553E34"/>
    <w:rsid w:val="00556685"/>
    <w:rsid w:val="00556F1B"/>
    <w:rsid w:val="00567C08"/>
    <w:rsid w:val="00573185"/>
    <w:rsid w:val="0057401A"/>
    <w:rsid w:val="005754A4"/>
    <w:rsid w:val="00583689"/>
    <w:rsid w:val="00586F45"/>
    <w:rsid w:val="00591133"/>
    <w:rsid w:val="005919FD"/>
    <w:rsid w:val="0059599C"/>
    <w:rsid w:val="005B1A29"/>
    <w:rsid w:val="005B496D"/>
    <w:rsid w:val="005B5523"/>
    <w:rsid w:val="005C0822"/>
    <w:rsid w:val="005C0DF0"/>
    <w:rsid w:val="005C2C64"/>
    <w:rsid w:val="005C6D0E"/>
    <w:rsid w:val="005C782F"/>
    <w:rsid w:val="005D1933"/>
    <w:rsid w:val="005D343C"/>
    <w:rsid w:val="005D71D8"/>
    <w:rsid w:val="005E0034"/>
    <w:rsid w:val="005E67CA"/>
    <w:rsid w:val="005F3402"/>
    <w:rsid w:val="005F4B9B"/>
    <w:rsid w:val="005F72A9"/>
    <w:rsid w:val="006112A6"/>
    <w:rsid w:val="00613CD2"/>
    <w:rsid w:val="006218FB"/>
    <w:rsid w:val="00623048"/>
    <w:rsid w:val="0062388D"/>
    <w:rsid w:val="006254E7"/>
    <w:rsid w:val="00631E9A"/>
    <w:rsid w:val="0063546C"/>
    <w:rsid w:val="00636680"/>
    <w:rsid w:val="006376E5"/>
    <w:rsid w:val="00640B50"/>
    <w:rsid w:val="00653454"/>
    <w:rsid w:val="00656F9C"/>
    <w:rsid w:val="006632B0"/>
    <w:rsid w:val="00665C8E"/>
    <w:rsid w:val="00666D14"/>
    <w:rsid w:val="006719F3"/>
    <w:rsid w:val="00677985"/>
    <w:rsid w:val="006819DE"/>
    <w:rsid w:val="00691347"/>
    <w:rsid w:val="0069483A"/>
    <w:rsid w:val="00695514"/>
    <w:rsid w:val="006A3415"/>
    <w:rsid w:val="006A799A"/>
    <w:rsid w:val="006B422A"/>
    <w:rsid w:val="006C123D"/>
    <w:rsid w:val="006C6003"/>
    <w:rsid w:val="006D0A1A"/>
    <w:rsid w:val="006D4DC6"/>
    <w:rsid w:val="006D6062"/>
    <w:rsid w:val="006E117C"/>
    <w:rsid w:val="006E1493"/>
    <w:rsid w:val="006E7123"/>
    <w:rsid w:val="006F0150"/>
    <w:rsid w:val="006F26A7"/>
    <w:rsid w:val="006F6D64"/>
    <w:rsid w:val="00705204"/>
    <w:rsid w:val="007105C5"/>
    <w:rsid w:val="0071247D"/>
    <w:rsid w:val="00713802"/>
    <w:rsid w:val="00717B60"/>
    <w:rsid w:val="00721426"/>
    <w:rsid w:val="0072416A"/>
    <w:rsid w:val="00727755"/>
    <w:rsid w:val="00727DCA"/>
    <w:rsid w:val="0073077A"/>
    <w:rsid w:val="007317E5"/>
    <w:rsid w:val="00734101"/>
    <w:rsid w:val="007344F7"/>
    <w:rsid w:val="00736594"/>
    <w:rsid w:val="0073752A"/>
    <w:rsid w:val="0074261C"/>
    <w:rsid w:val="007451C6"/>
    <w:rsid w:val="00746B31"/>
    <w:rsid w:val="00753933"/>
    <w:rsid w:val="00756544"/>
    <w:rsid w:val="00766E17"/>
    <w:rsid w:val="00767953"/>
    <w:rsid w:val="00767F10"/>
    <w:rsid w:val="00772C1E"/>
    <w:rsid w:val="00774E8F"/>
    <w:rsid w:val="007768CF"/>
    <w:rsid w:val="0077717F"/>
    <w:rsid w:val="00781830"/>
    <w:rsid w:val="0078535F"/>
    <w:rsid w:val="0078573F"/>
    <w:rsid w:val="00786FCE"/>
    <w:rsid w:val="0079580C"/>
    <w:rsid w:val="007B2AB0"/>
    <w:rsid w:val="007B65F6"/>
    <w:rsid w:val="007C6390"/>
    <w:rsid w:val="007D1C09"/>
    <w:rsid w:val="007D23BC"/>
    <w:rsid w:val="007D5C0D"/>
    <w:rsid w:val="007E09EC"/>
    <w:rsid w:val="007E7FFE"/>
    <w:rsid w:val="00810E51"/>
    <w:rsid w:val="008241A6"/>
    <w:rsid w:val="0083510F"/>
    <w:rsid w:val="00836ACB"/>
    <w:rsid w:val="00837A36"/>
    <w:rsid w:val="008431DD"/>
    <w:rsid w:val="00843779"/>
    <w:rsid w:val="00843A64"/>
    <w:rsid w:val="00843B31"/>
    <w:rsid w:val="00844C53"/>
    <w:rsid w:val="008450AD"/>
    <w:rsid w:val="00847502"/>
    <w:rsid w:val="0085005B"/>
    <w:rsid w:val="00850F81"/>
    <w:rsid w:val="008536B5"/>
    <w:rsid w:val="00855015"/>
    <w:rsid w:val="00860B34"/>
    <w:rsid w:val="008649A8"/>
    <w:rsid w:val="008650BD"/>
    <w:rsid w:val="00872A4E"/>
    <w:rsid w:val="00874829"/>
    <w:rsid w:val="00884E23"/>
    <w:rsid w:val="00894A6A"/>
    <w:rsid w:val="00897A10"/>
    <w:rsid w:val="008A6C76"/>
    <w:rsid w:val="008B23CF"/>
    <w:rsid w:val="008B342B"/>
    <w:rsid w:val="008B51C8"/>
    <w:rsid w:val="008B551B"/>
    <w:rsid w:val="008B5D8F"/>
    <w:rsid w:val="008B7084"/>
    <w:rsid w:val="008C6A7D"/>
    <w:rsid w:val="008C76B4"/>
    <w:rsid w:val="008D4594"/>
    <w:rsid w:val="008D63E0"/>
    <w:rsid w:val="008E2D36"/>
    <w:rsid w:val="008E5562"/>
    <w:rsid w:val="008F220C"/>
    <w:rsid w:val="008F6DA0"/>
    <w:rsid w:val="00904E86"/>
    <w:rsid w:val="00910A0D"/>
    <w:rsid w:val="009112DD"/>
    <w:rsid w:val="00920A26"/>
    <w:rsid w:val="009211C1"/>
    <w:rsid w:val="00926D4E"/>
    <w:rsid w:val="00930AC7"/>
    <w:rsid w:val="00934F1D"/>
    <w:rsid w:val="00935D1B"/>
    <w:rsid w:val="00936A46"/>
    <w:rsid w:val="00937EC2"/>
    <w:rsid w:val="00943BB3"/>
    <w:rsid w:val="009477AC"/>
    <w:rsid w:val="00947AAE"/>
    <w:rsid w:val="0095023A"/>
    <w:rsid w:val="00952BAC"/>
    <w:rsid w:val="009621C9"/>
    <w:rsid w:val="00962FBE"/>
    <w:rsid w:val="00966505"/>
    <w:rsid w:val="00967216"/>
    <w:rsid w:val="00972495"/>
    <w:rsid w:val="00975AFE"/>
    <w:rsid w:val="009811A7"/>
    <w:rsid w:val="00981FF2"/>
    <w:rsid w:val="00982E06"/>
    <w:rsid w:val="00984ECC"/>
    <w:rsid w:val="00990CF0"/>
    <w:rsid w:val="00991E3D"/>
    <w:rsid w:val="00993AE4"/>
    <w:rsid w:val="00996CB7"/>
    <w:rsid w:val="009A0FF7"/>
    <w:rsid w:val="009A583A"/>
    <w:rsid w:val="009A5DDC"/>
    <w:rsid w:val="009B3B98"/>
    <w:rsid w:val="009B41F5"/>
    <w:rsid w:val="009B43CC"/>
    <w:rsid w:val="009C1FBC"/>
    <w:rsid w:val="009C210C"/>
    <w:rsid w:val="009C3A00"/>
    <w:rsid w:val="009D2BEA"/>
    <w:rsid w:val="009D4DBB"/>
    <w:rsid w:val="009D63C1"/>
    <w:rsid w:val="009D70D9"/>
    <w:rsid w:val="009D7B51"/>
    <w:rsid w:val="009E07E5"/>
    <w:rsid w:val="009E26B6"/>
    <w:rsid w:val="009E357B"/>
    <w:rsid w:val="009E3985"/>
    <w:rsid w:val="009E6DC0"/>
    <w:rsid w:val="009F47DE"/>
    <w:rsid w:val="00A05108"/>
    <w:rsid w:val="00A0698F"/>
    <w:rsid w:val="00A103A8"/>
    <w:rsid w:val="00A107D3"/>
    <w:rsid w:val="00A16001"/>
    <w:rsid w:val="00A16D41"/>
    <w:rsid w:val="00A20DD9"/>
    <w:rsid w:val="00A23590"/>
    <w:rsid w:val="00A24A6B"/>
    <w:rsid w:val="00A25A12"/>
    <w:rsid w:val="00A27733"/>
    <w:rsid w:val="00A306B1"/>
    <w:rsid w:val="00A30A04"/>
    <w:rsid w:val="00A34FF4"/>
    <w:rsid w:val="00A361E1"/>
    <w:rsid w:val="00A41916"/>
    <w:rsid w:val="00A44489"/>
    <w:rsid w:val="00A5094A"/>
    <w:rsid w:val="00A54271"/>
    <w:rsid w:val="00A605A5"/>
    <w:rsid w:val="00A609D8"/>
    <w:rsid w:val="00A62197"/>
    <w:rsid w:val="00A67ACF"/>
    <w:rsid w:val="00A7188D"/>
    <w:rsid w:val="00A94B7D"/>
    <w:rsid w:val="00A96398"/>
    <w:rsid w:val="00A96780"/>
    <w:rsid w:val="00AA15DE"/>
    <w:rsid w:val="00AA40F2"/>
    <w:rsid w:val="00AA5686"/>
    <w:rsid w:val="00AB13EF"/>
    <w:rsid w:val="00AD1947"/>
    <w:rsid w:val="00AD1F5E"/>
    <w:rsid w:val="00AD457A"/>
    <w:rsid w:val="00AD4592"/>
    <w:rsid w:val="00AD60EA"/>
    <w:rsid w:val="00AD6A16"/>
    <w:rsid w:val="00AD7B9D"/>
    <w:rsid w:val="00AE0987"/>
    <w:rsid w:val="00AE20BE"/>
    <w:rsid w:val="00AE328C"/>
    <w:rsid w:val="00AE695E"/>
    <w:rsid w:val="00AE6CD5"/>
    <w:rsid w:val="00AF4BC8"/>
    <w:rsid w:val="00B01050"/>
    <w:rsid w:val="00B03605"/>
    <w:rsid w:val="00B05403"/>
    <w:rsid w:val="00B11D04"/>
    <w:rsid w:val="00B1283E"/>
    <w:rsid w:val="00B12B07"/>
    <w:rsid w:val="00B138EB"/>
    <w:rsid w:val="00B22F14"/>
    <w:rsid w:val="00B23657"/>
    <w:rsid w:val="00B26F52"/>
    <w:rsid w:val="00B32372"/>
    <w:rsid w:val="00B41FDA"/>
    <w:rsid w:val="00B42E4A"/>
    <w:rsid w:val="00B4333A"/>
    <w:rsid w:val="00B513AB"/>
    <w:rsid w:val="00B53273"/>
    <w:rsid w:val="00B60CF7"/>
    <w:rsid w:val="00B64162"/>
    <w:rsid w:val="00B727BA"/>
    <w:rsid w:val="00B7396D"/>
    <w:rsid w:val="00B86DFA"/>
    <w:rsid w:val="00B926AA"/>
    <w:rsid w:val="00B92D6C"/>
    <w:rsid w:val="00B93881"/>
    <w:rsid w:val="00B97EE2"/>
    <w:rsid w:val="00BA041E"/>
    <w:rsid w:val="00BB3940"/>
    <w:rsid w:val="00BB6444"/>
    <w:rsid w:val="00BC0C6A"/>
    <w:rsid w:val="00BC1670"/>
    <w:rsid w:val="00BC19CA"/>
    <w:rsid w:val="00BC67CB"/>
    <w:rsid w:val="00BC6D3A"/>
    <w:rsid w:val="00BC7B2A"/>
    <w:rsid w:val="00BD1CAE"/>
    <w:rsid w:val="00BD32B1"/>
    <w:rsid w:val="00BD3C19"/>
    <w:rsid w:val="00BD4E9F"/>
    <w:rsid w:val="00BD5338"/>
    <w:rsid w:val="00BE7AC0"/>
    <w:rsid w:val="00BF16F9"/>
    <w:rsid w:val="00BF52BD"/>
    <w:rsid w:val="00BF5498"/>
    <w:rsid w:val="00BF5DA3"/>
    <w:rsid w:val="00BF6005"/>
    <w:rsid w:val="00BF7219"/>
    <w:rsid w:val="00C0729A"/>
    <w:rsid w:val="00C1381D"/>
    <w:rsid w:val="00C1394F"/>
    <w:rsid w:val="00C17A4E"/>
    <w:rsid w:val="00C216A3"/>
    <w:rsid w:val="00C252BD"/>
    <w:rsid w:val="00C329B4"/>
    <w:rsid w:val="00C34FC6"/>
    <w:rsid w:val="00C418CA"/>
    <w:rsid w:val="00C452EB"/>
    <w:rsid w:val="00C57C2E"/>
    <w:rsid w:val="00C62ED7"/>
    <w:rsid w:val="00C63748"/>
    <w:rsid w:val="00C671E9"/>
    <w:rsid w:val="00C67F0F"/>
    <w:rsid w:val="00C7105C"/>
    <w:rsid w:val="00C72850"/>
    <w:rsid w:val="00C77FFD"/>
    <w:rsid w:val="00C8397B"/>
    <w:rsid w:val="00C84508"/>
    <w:rsid w:val="00C8636F"/>
    <w:rsid w:val="00C86C7B"/>
    <w:rsid w:val="00C933C9"/>
    <w:rsid w:val="00C94D3F"/>
    <w:rsid w:val="00CA3C95"/>
    <w:rsid w:val="00CA5F0B"/>
    <w:rsid w:val="00CA7351"/>
    <w:rsid w:val="00CB1701"/>
    <w:rsid w:val="00CB52AB"/>
    <w:rsid w:val="00CB64E7"/>
    <w:rsid w:val="00CC3F37"/>
    <w:rsid w:val="00CC5AA5"/>
    <w:rsid w:val="00CC7F08"/>
    <w:rsid w:val="00CD5812"/>
    <w:rsid w:val="00CE0772"/>
    <w:rsid w:val="00CE312A"/>
    <w:rsid w:val="00CE4B85"/>
    <w:rsid w:val="00CE6130"/>
    <w:rsid w:val="00CE6405"/>
    <w:rsid w:val="00CE7065"/>
    <w:rsid w:val="00CF4A0B"/>
    <w:rsid w:val="00CF7295"/>
    <w:rsid w:val="00D01F72"/>
    <w:rsid w:val="00D062E2"/>
    <w:rsid w:val="00D101A8"/>
    <w:rsid w:val="00D17D89"/>
    <w:rsid w:val="00D21DB8"/>
    <w:rsid w:val="00D23D60"/>
    <w:rsid w:val="00D249F1"/>
    <w:rsid w:val="00D26197"/>
    <w:rsid w:val="00D30710"/>
    <w:rsid w:val="00D36504"/>
    <w:rsid w:val="00D36B08"/>
    <w:rsid w:val="00D3774D"/>
    <w:rsid w:val="00D423F9"/>
    <w:rsid w:val="00D42D28"/>
    <w:rsid w:val="00D43653"/>
    <w:rsid w:val="00D45B8B"/>
    <w:rsid w:val="00D45BB9"/>
    <w:rsid w:val="00D46A32"/>
    <w:rsid w:val="00D533E9"/>
    <w:rsid w:val="00D54BFE"/>
    <w:rsid w:val="00D558BE"/>
    <w:rsid w:val="00D572F1"/>
    <w:rsid w:val="00D615DE"/>
    <w:rsid w:val="00D63AD1"/>
    <w:rsid w:val="00D75577"/>
    <w:rsid w:val="00D769C0"/>
    <w:rsid w:val="00D808B0"/>
    <w:rsid w:val="00D80C2C"/>
    <w:rsid w:val="00D81062"/>
    <w:rsid w:val="00D8566C"/>
    <w:rsid w:val="00D9600D"/>
    <w:rsid w:val="00DA20C6"/>
    <w:rsid w:val="00DA4078"/>
    <w:rsid w:val="00DA7C62"/>
    <w:rsid w:val="00DB2574"/>
    <w:rsid w:val="00DB3E6B"/>
    <w:rsid w:val="00DB76FA"/>
    <w:rsid w:val="00DC0C37"/>
    <w:rsid w:val="00DC2190"/>
    <w:rsid w:val="00DC408F"/>
    <w:rsid w:val="00DC5744"/>
    <w:rsid w:val="00DC5D76"/>
    <w:rsid w:val="00DC65EB"/>
    <w:rsid w:val="00DD2B8E"/>
    <w:rsid w:val="00DD5DC9"/>
    <w:rsid w:val="00DD7BE1"/>
    <w:rsid w:val="00DE0488"/>
    <w:rsid w:val="00DE2182"/>
    <w:rsid w:val="00DF08F4"/>
    <w:rsid w:val="00DF303A"/>
    <w:rsid w:val="00DF4E16"/>
    <w:rsid w:val="00E04494"/>
    <w:rsid w:val="00E0756C"/>
    <w:rsid w:val="00E160F1"/>
    <w:rsid w:val="00E22087"/>
    <w:rsid w:val="00E3087B"/>
    <w:rsid w:val="00E30D3A"/>
    <w:rsid w:val="00E5025E"/>
    <w:rsid w:val="00E53E3D"/>
    <w:rsid w:val="00E56C65"/>
    <w:rsid w:val="00E62B5F"/>
    <w:rsid w:val="00E64385"/>
    <w:rsid w:val="00E7138C"/>
    <w:rsid w:val="00E73006"/>
    <w:rsid w:val="00E75813"/>
    <w:rsid w:val="00E77C8C"/>
    <w:rsid w:val="00E8161D"/>
    <w:rsid w:val="00E82DAC"/>
    <w:rsid w:val="00E830C1"/>
    <w:rsid w:val="00E87BC5"/>
    <w:rsid w:val="00E93008"/>
    <w:rsid w:val="00E93495"/>
    <w:rsid w:val="00E938C7"/>
    <w:rsid w:val="00E955D2"/>
    <w:rsid w:val="00E9686D"/>
    <w:rsid w:val="00EA29D2"/>
    <w:rsid w:val="00EA356E"/>
    <w:rsid w:val="00EA6899"/>
    <w:rsid w:val="00EB30D1"/>
    <w:rsid w:val="00EB4DB9"/>
    <w:rsid w:val="00EB5F26"/>
    <w:rsid w:val="00EC018E"/>
    <w:rsid w:val="00EC1EDF"/>
    <w:rsid w:val="00EC2737"/>
    <w:rsid w:val="00EC68E0"/>
    <w:rsid w:val="00EC7790"/>
    <w:rsid w:val="00ED3322"/>
    <w:rsid w:val="00ED5023"/>
    <w:rsid w:val="00ED5D5F"/>
    <w:rsid w:val="00ED6090"/>
    <w:rsid w:val="00ED6F4F"/>
    <w:rsid w:val="00EF2E4D"/>
    <w:rsid w:val="00EF45DA"/>
    <w:rsid w:val="00EF5375"/>
    <w:rsid w:val="00F00B8D"/>
    <w:rsid w:val="00F111D7"/>
    <w:rsid w:val="00F13AEB"/>
    <w:rsid w:val="00F14FA5"/>
    <w:rsid w:val="00F177F4"/>
    <w:rsid w:val="00F30732"/>
    <w:rsid w:val="00F33404"/>
    <w:rsid w:val="00F37ECB"/>
    <w:rsid w:val="00F46CFC"/>
    <w:rsid w:val="00F4745B"/>
    <w:rsid w:val="00F57234"/>
    <w:rsid w:val="00F6321D"/>
    <w:rsid w:val="00F63F7D"/>
    <w:rsid w:val="00F642B6"/>
    <w:rsid w:val="00F652D0"/>
    <w:rsid w:val="00F67A46"/>
    <w:rsid w:val="00F73B2A"/>
    <w:rsid w:val="00F73B66"/>
    <w:rsid w:val="00F83D38"/>
    <w:rsid w:val="00F87C99"/>
    <w:rsid w:val="00F91EB2"/>
    <w:rsid w:val="00FA3AAA"/>
    <w:rsid w:val="00FA64BF"/>
    <w:rsid w:val="00FB7A19"/>
    <w:rsid w:val="00FC2C11"/>
    <w:rsid w:val="00FC6547"/>
    <w:rsid w:val="00FC7D85"/>
    <w:rsid w:val="00FD329C"/>
    <w:rsid w:val="00FD3318"/>
    <w:rsid w:val="00FD5052"/>
    <w:rsid w:val="00FD6BB5"/>
    <w:rsid w:val="00FE1305"/>
    <w:rsid w:val="00FE4EF0"/>
    <w:rsid w:val="00FF13F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309B"/>
  <w15:chartTrackingRefBased/>
  <w15:docId w15:val="{EFA70555-0D16-4DDA-81E9-B98CAD3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7D"/>
    <w:pPr>
      <w:spacing w:after="0" w:line="240" w:lineRule="auto"/>
    </w:pPr>
    <w:rPr>
      <w:rFonts w:ascii="Calibri" w:hAnsi="Calibri" w:cs="Calibri"/>
      <w:lang w:val="lt-LT"/>
    </w:rPr>
  </w:style>
  <w:style w:type="paragraph" w:styleId="Heading1">
    <w:name w:val="heading 1"/>
    <w:basedOn w:val="Normal"/>
    <w:next w:val="Normal"/>
    <w:link w:val="Heading1Char"/>
    <w:qFormat/>
    <w:rsid w:val="00CC7F08"/>
    <w:pPr>
      <w:keepNext/>
      <w:numPr>
        <w:numId w:val="12"/>
      </w:numPr>
      <w:suppressAutoHyphens/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6F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F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72A9"/>
    <w:pPr>
      <w:spacing w:after="0" w:line="240" w:lineRule="auto"/>
    </w:pPr>
    <w:rPr>
      <w:rFonts w:ascii="Calibri" w:hAnsi="Calibri" w:cs="Calibri"/>
      <w:lang w:val="lt-LT"/>
    </w:rPr>
  </w:style>
  <w:style w:type="paragraph" w:styleId="ListParagraph">
    <w:name w:val="List Paragraph"/>
    <w:basedOn w:val="Normal"/>
    <w:uiPriority w:val="34"/>
    <w:qFormat/>
    <w:rsid w:val="00AE328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7C8C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7C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iPriority w:val="99"/>
    <w:unhideWhenUsed/>
    <w:qFormat/>
    <w:rsid w:val="00E77C8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A0FF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14F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FA5"/>
    <w:rPr>
      <w:rFonts w:ascii="Calibri" w:hAnsi="Calibri" w:cs="Calibri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46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A32"/>
    <w:rPr>
      <w:rFonts w:ascii="Calibri" w:hAnsi="Calibri" w:cs="Calibri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A32"/>
    <w:rPr>
      <w:rFonts w:ascii="Calibri" w:hAnsi="Calibri" w:cs="Calibri"/>
      <w:b/>
      <w:bCs/>
      <w:sz w:val="20"/>
      <w:szCs w:val="20"/>
      <w:lang w:val="lt-LT"/>
    </w:rPr>
  </w:style>
  <w:style w:type="paragraph" w:customStyle="1" w:styleId="paragraph">
    <w:name w:val="paragraph"/>
    <w:basedOn w:val="Normal"/>
    <w:rsid w:val="00B641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64162"/>
  </w:style>
  <w:style w:type="character" w:customStyle="1" w:styleId="eop">
    <w:name w:val="eop"/>
    <w:basedOn w:val="DefaultParagraphFont"/>
    <w:rsid w:val="00B64162"/>
  </w:style>
  <w:style w:type="paragraph" w:styleId="BodyText">
    <w:name w:val="Body Text"/>
    <w:basedOn w:val="Normal"/>
    <w:link w:val="BodyTextChar"/>
    <w:uiPriority w:val="99"/>
    <w:semiHidden/>
    <w:unhideWhenUsed/>
    <w:rsid w:val="000F6E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F6E42"/>
    <w:rPr>
      <w:rFonts w:ascii="Calibri" w:hAnsi="Calibri" w:cs="Calibri"/>
      <w:lang w:val="lt-LT"/>
    </w:rPr>
  </w:style>
  <w:style w:type="character" w:customStyle="1" w:styleId="Heading1Char">
    <w:name w:val="Heading 1 Char"/>
    <w:basedOn w:val="DefaultParagraphFont"/>
    <w:link w:val="Heading1"/>
    <w:rsid w:val="00CC7F08"/>
    <w:rPr>
      <w:rFonts w:ascii="Times New Roman" w:eastAsia="Times New Roman" w:hAnsi="Times New Roman" w:cs="Times New Roman"/>
      <w:sz w:val="28"/>
      <w:szCs w:val="20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vpt-atnaujina-informacija-del-tarybos-reglamento-es-2022-576-taikymo-viesuosiuose-pirkimuo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lt/naujienos/vpt-atnaujina-informacija-del-tarybos-reglamento-es-2022-576-taikymo-viesuosiuose-pirkimuo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E9B1E-9C45-4999-AB57-02FBC5AC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Šėrytė</dc:creator>
  <cp:keywords/>
  <dc:description/>
  <cp:lastModifiedBy>Šarūnė Jatulytė</cp:lastModifiedBy>
  <cp:revision>22</cp:revision>
  <cp:lastPrinted>2022-03-16T09:16:00Z</cp:lastPrinted>
  <dcterms:created xsi:type="dcterms:W3CDTF">2024-02-13T13:04:00Z</dcterms:created>
  <dcterms:modified xsi:type="dcterms:W3CDTF">2024-03-25T09:14:00Z</dcterms:modified>
</cp:coreProperties>
</file>