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113A" w14:textId="77777777" w:rsidR="00615526" w:rsidRPr="005E64B5" w:rsidRDefault="00615526" w:rsidP="00615526">
      <w:pPr>
        <w:spacing w:after="0" w:line="276" w:lineRule="auto"/>
        <w:rPr>
          <w:rFonts w:cstheme="minorHAnsi"/>
          <w:sz w:val="24"/>
          <w:szCs w:val="24"/>
        </w:rPr>
      </w:pPr>
      <w:r w:rsidRPr="005E64B5">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70EBA9B" w14:textId="77777777" w:rsidR="00615526" w:rsidRPr="005E64B5" w:rsidRDefault="00615526" w:rsidP="00615526">
      <w:pPr>
        <w:spacing w:after="0" w:line="276" w:lineRule="auto"/>
        <w:rPr>
          <w:rFonts w:cstheme="minorHAnsi"/>
          <w:sz w:val="24"/>
          <w:szCs w:val="24"/>
        </w:rPr>
      </w:pPr>
      <w:r w:rsidRPr="005E64B5">
        <w:rPr>
          <w:rFonts w:eastAsia="Times New Roman" w:cstheme="minorHAnsi"/>
          <w:sz w:val="24"/>
          <w:szCs w:val="24"/>
          <w:lang w:val="lt"/>
        </w:rPr>
        <w:t xml:space="preserve">Vadovaujantis Tarnybai Įstatyme nustatyta pažeidimų prevencijos funkcija, šiuo metu atliekama </w:t>
      </w:r>
      <w:r w:rsidRPr="004657A6">
        <w:rPr>
          <w:rFonts w:eastAsia="Times New Roman" w:cstheme="minorHAnsi"/>
          <w:b/>
          <w:bCs/>
          <w:sz w:val="24"/>
          <w:szCs w:val="24"/>
          <w:lang w:val="lt"/>
        </w:rPr>
        <w:t>Panevėžio</w:t>
      </w:r>
      <w:r w:rsidRPr="006008D0">
        <w:rPr>
          <w:rFonts w:eastAsia="Times New Roman" w:cstheme="minorHAnsi"/>
          <w:b/>
          <w:bCs/>
          <w:sz w:val="24"/>
          <w:szCs w:val="24"/>
          <w:lang w:val="lt"/>
        </w:rPr>
        <w:t xml:space="preserve"> </w:t>
      </w:r>
      <w:r>
        <w:rPr>
          <w:rFonts w:eastAsia="Times New Roman" w:cstheme="minorHAnsi"/>
          <w:b/>
          <w:bCs/>
          <w:sz w:val="24"/>
          <w:szCs w:val="24"/>
          <w:lang w:val="lt"/>
        </w:rPr>
        <w:t>rajono</w:t>
      </w:r>
      <w:r w:rsidRPr="006008D0">
        <w:rPr>
          <w:rFonts w:eastAsia="Times New Roman" w:cstheme="minorHAnsi"/>
          <w:b/>
          <w:bCs/>
          <w:sz w:val="24"/>
          <w:szCs w:val="24"/>
          <w:lang w:val="lt"/>
        </w:rPr>
        <w:t xml:space="preserve"> savivaldybės administracijos</w:t>
      </w:r>
      <w:r w:rsidRPr="007622B5">
        <w:rPr>
          <w:rFonts w:cstheme="minorHAnsi"/>
          <w:b/>
          <w:bCs/>
          <w:spacing w:val="-2"/>
          <w:sz w:val="24"/>
          <w:szCs w:val="24"/>
        </w:rPr>
        <w:t xml:space="preserve"> </w:t>
      </w:r>
      <w:r w:rsidRPr="007622B5">
        <w:rPr>
          <w:rFonts w:cstheme="minorHAnsi"/>
          <w:sz w:val="24"/>
          <w:szCs w:val="24"/>
          <w:lang w:eastAsia="lt-LT"/>
        </w:rPr>
        <w:t>(toliau – Perkančioji organizacija) vykdomo pirkimo Nr.</w:t>
      </w:r>
      <w:r w:rsidRPr="007622B5">
        <w:rPr>
          <w:rFonts w:cstheme="minorHAnsi"/>
          <w:b/>
          <w:bCs/>
          <w:sz w:val="24"/>
          <w:szCs w:val="24"/>
          <w:lang w:eastAsia="lt-LT"/>
        </w:rPr>
        <w:t xml:space="preserve"> </w:t>
      </w:r>
      <w:r>
        <w:rPr>
          <w:rFonts w:cstheme="minorHAnsi"/>
          <w:b/>
          <w:bCs/>
          <w:sz w:val="24"/>
          <w:szCs w:val="24"/>
          <w:lang w:eastAsia="lt-LT"/>
        </w:rPr>
        <w:t>713868</w:t>
      </w:r>
      <w:r w:rsidRPr="007622B5">
        <w:rPr>
          <w:rFonts w:cstheme="minorHAnsi"/>
          <w:b/>
          <w:bCs/>
          <w:sz w:val="24"/>
          <w:szCs w:val="24"/>
          <w:lang w:eastAsia="lt-LT"/>
        </w:rPr>
        <w:t xml:space="preserve"> „</w:t>
      </w:r>
      <w:r>
        <w:rPr>
          <w:rFonts w:cstheme="minorHAnsi"/>
          <w:b/>
          <w:bCs/>
          <w:sz w:val="24"/>
          <w:szCs w:val="24"/>
          <w:lang w:eastAsia="lt-LT"/>
        </w:rPr>
        <w:t>Panevėžio r. Paįstrio sen. Kelio Paįstrys – Skaistgiriai paprastasis remontas</w:t>
      </w:r>
      <w:r w:rsidRPr="007622B5">
        <w:rPr>
          <w:rFonts w:cstheme="minorHAnsi"/>
          <w:b/>
          <w:bCs/>
          <w:sz w:val="24"/>
          <w:szCs w:val="24"/>
          <w:lang w:eastAsia="lt-LT"/>
        </w:rPr>
        <w:t>“</w:t>
      </w:r>
      <w:r w:rsidRPr="007622B5">
        <w:rPr>
          <w:rFonts w:cstheme="minorHAnsi"/>
          <w:sz w:val="24"/>
          <w:szCs w:val="24"/>
          <w:lang w:eastAsia="lt-LT"/>
        </w:rPr>
        <w:t xml:space="preserve"> (toliau – Pirkimas) </w:t>
      </w:r>
      <w:r w:rsidRPr="005E64B5">
        <w:rPr>
          <w:rFonts w:cstheme="minorHAnsi"/>
          <w:sz w:val="24"/>
          <w:szCs w:val="24"/>
        </w:rPr>
        <w:t>dokumentų atitikties Įstatymui ir jį įgyvendinantiems teisės aktams peržiūra (peržiūra prevenciniais tikslais atliekama tam tikra apimtimi).</w:t>
      </w:r>
    </w:p>
    <w:p w14:paraId="1B19B2AA" w14:textId="77777777" w:rsidR="00615526" w:rsidRDefault="00615526" w:rsidP="00615526">
      <w:pPr>
        <w:spacing w:after="0" w:line="276" w:lineRule="auto"/>
        <w:rPr>
          <w:rFonts w:cstheme="minorHAnsi"/>
          <w:sz w:val="24"/>
          <w:szCs w:val="24"/>
          <w:lang w:eastAsia="lt-LT"/>
        </w:rPr>
      </w:pPr>
      <w:r w:rsidRPr="00CB1176">
        <w:rPr>
          <w:rFonts w:cstheme="minorHAnsi"/>
          <w:sz w:val="24"/>
          <w:szCs w:val="24"/>
          <w:lang w:eastAsia="lt-LT"/>
        </w:rPr>
        <w:t xml:space="preserve">Tarnyba, prevencine tvarka </w:t>
      </w:r>
      <w:r w:rsidRPr="00A477EF">
        <w:rPr>
          <w:rFonts w:cstheme="minorHAnsi"/>
          <w:sz w:val="24"/>
          <w:szCs w:val="24"/>
          <w:lang w:eastAsia="lt-LT"/>
        </w:rPr>
        <w:t>peržiūrėjusi Pirkimo dokumentus ir atsižvelgdama į galiojantį teisinį reglamentavimą</w:t>
      </w:r>
      <w:r w:rsidRPr="00314E43">
        <w:rPr>
          <w:rFonts w:cstheme="minorHAnsi"/>
          <w:sz w:val="24"/>
          <w:szCs w:val="24"/>
          <w:lang w:eastAsia="lt-LT"/>
        </w:rPr>
        <w:t>, teikia klausimus, pastabas ir rekomendacijas</w:t>
      </w:r>
      <w:r w:rsidRPr="00A477EF">
        <w:rPr>
          <w:rFonts w:cstheme="minorHAnsi"/>
          <w:sz w:val="24"/>
          <w:szCs w:val="24"/>
          <w:lang w:eastAsia="lt-LT"/>
        </w:rPr>
        <w:t xml:space="preserve"> (</w:t>
      </w:r>
      <w:r w:rsidRPr="00084498">
        <w:rPr>
          <w:rFonts w:cstheme="minorHAnsi"/>
          <w:sz w:val="24"/>
          <w:szCs w:val="24"/>
          <w:lang w:eastAsia="lt-LT"/>
        </w:rPr>
        <w:t>toliau – Rekomendacija) dėl Pirkimo dokumentų nuostatų.</w:t>
      </w:r>
    </w:p>
    <w:p w14:paraId="43E7DBE1" w14:textId="77777777" w:rsidR="00615526" w:rsidRDefault="00615526" w:rsidP="00615526">
      <w:pPr>
        <w:spacing w:after="0" w:line="276" w:lineRule="auto"/>
        <w:ind w:firstLine="709"/>
        <w:contextualSpacing/>
      </w:pPr>
    </w:p>
    <w:p w14:paraId="30EB2274" w14:textId="77777777" w:rsidR="00615526" w:rsidRPr="0024191E" w:rsidRDefault="00615526" w:rsidP="00615526">
      <w:pPr>
        <w:numPr>
          <w:ilvl w:val="0"/>
          <w:numId w:val="1"/>
        </w:numPr>
        <w:tabs>
          <w:tab w:val="left" w:pos="426"/>
        </w:tabs>
        <w:spacing w:after="0" w:line="276" w:lineRule="auto"/>
        <w:ind w:left="0" w:hanging="11"/>
        <w:contextualSpacing/>
        <w:rPr>
          <w:rFonts w:cstheme="minorHAnsi"/>
          <w:b/>
          <w:bCs/>
          <w:sz w:val="24"/>
          <w:szCs w:val="24"/>
        </w:rPr>
      </w:pPr>
      <w:r w:rsidRPr="0024191E">
        <w:rPr>
          <w:rFonts w:cstheme="minorHAnsi"/>
          <w:b/>
          <w:bCs/>
          <w:sz w:val="24"/>
          <w:szCs w:val="24"/>
        </w:rPr>
        <w:t>Dėl pašalinimo pagrindų</w:t>
      </w:r>
    </w:p>
    <w:p w14:paraId="47957C34" w14:textId="77777777" w:rsidR="00615526" w:rsidRPr="0024191E" w:rsidRDefault="00615526" w:rsidP="00615526">
      <w:pPr>
        <w:spacing w:after="0" w:line="276" w:lineRule="auto"/>
        <w:rPr>
          <w:rFonts w:eastAsia="Times New Roman" w:cstheme="minorHAnsi"/>
          <w:sz w:val="24"/>
          <w:szCs w:val="24"/>
          <w:lang w:val="lt"/>
        </w:rPr>
      </w:pPr>
      <w:r w:rsidRPr="00823ABC">
        <w:rPr>
          <w:rFonts w:cstheme="minorHAnsi"/>
          <w:b/>
          <w:bCs/>
          <w:sz w:val="24"/>
          <w:szCs w:val="24"/>
        </w:rPr>
        <w:t>1.1</w:t>
      </w:r>
      <w:r>
        <w:rPr>
          <w:rFonts w:cstheme="minorHAnsi"/>
          <w:sz w:val="24"/>
          <w:szCs w:val="24"/>
        </w:rPr>
        <w:t xml:space="preserve">. </w:t>
      </w:r>
      <w:r w:rsidRPr="0024191E">
        <w:rPr>
          <w:rFonts w:cstheme="minorHAnsi"/>
          <w:sz w:val="24"/>
          <w:szCs w:val="24"/>
        </w:rPr>
        <w:t xml:space="preserve">Nuo </w:t>
      </w:r>
      <w:r w:rsidRPr="0024191E">
        <w:rPr>
          <w:rFonts w:cstheme="minorHAnsi"/>
          <w:sz w:val="24"/>
          <w:szCs w:val="24"/>
          <w:shd w:val="clear" w:color="auto" w:fill="FFFFFF"/>
        </w:rPr>
        <w:t>2024 m. sausio 1 d. įsigalioja Įstatymo 25 straipsnio 1 dalies nuostata</w:t>
      </w:r>
      <w:r w:rsidRPr="0024191E">
        <w:rPr>
          <w:rFonts w:cstheme="minorHAnsi"/>
          <w:i/>
          <w:iCs/>
          <w:sz w:val="24"/>
          <w:szCs w:val="24"/>
          <w:shd w:val="clear" w:color="auto" w:fill="FFFFFF"/>
        </w:rPr>
        <w:t xml:space="preserve">, </w:t>
      </w:r>
      <w:r w:rsidRPr="0024191E">
        <w:rPr>
          <w:rFonts w:cstheme="minorHAnsi"/>
          <w:sz w:val="24"/>
          <w:szCs w:val="24"/>
          <w:shd w:val="clear" w:color="auto" w:fill="FFFFFF"/>
        </w:rPr>
        <w:t>kad</w:t>
      </w:r>
      <w:r w:rsidRPr="0024191E">
        <w:rPr>
          <w:rFonts w:cstheme="minorHAnsi"/>
          <w:i/>
          <w:iCs/>
          <w:sz w:val="24"/>
          <w:szCs w:val="24"/>
          <w:shd w:val="clear" w:color="auto" w:fill="FFFFFF"/>
        </w:rPr>
        <w:t> </w:t>
      </w:r>
      <w:r w:rsidRPr="0024191E">
        <w:rPr>
          <w:rFonts w:cstheme="minorHAnsi"/>
          <w:sz w:val="24"/>
          <w:szCs w:val="24"/>
          <w:bdr w:val="none" w:sz="0" w:space="0" w:color="auto" w:frame="1"/>
          <w:shd w:val="clear" w:color="auto" w:fill="FFFFFF"/>
        </w:rPr>
        <w:t xml:space="preserve">atliekant supaprastintus pirkimus,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r w:rsidRPr="0024191E">
        <w:rPr>
          <w:rFonts w:eastAsia="Times New Roman" w:cstheme="minorHAnsi"/>
          <w:sz w:val="24"/>
          <w:szCs w:val="24"/>
          <w:lang w:val="lt"/>
        </w:rPr>
        <w:t>Atsižvelgiant į tai, turi būti patikslinta ir tinkamai suformuluota Tiekėjo pašalinimo pagrindų lentelė</w:t>
      </w:r>
      <w:r>
        <w:rPr>
          <w:rFonts w:eastAsia="Times New Roman" w:cstheme="minorHAnsi"/>
          <w:sz w:val="24"/>
          <w:szCs w:val="24"/>
          <w:lang w:val="lt"/>
        </w:rPr>
        <w:t>s 1, 2 ir 12 eilučių</w:t>
      </w:r>
      <w:r w:rsidRPr="0024191E">
        <w:rPr>
          <w:rFonts w:eastAsia="Times New Roman" w:cstheme="minorHAnsi"/>
          <w:sz w:val="24"/>
          <w:szCs w:val="24"/>
          <w:lang w:val="lt"/>
        </w:rPr>
        <w:t xml:space="preserve"> </w:t>
      </w:r>
      <w:r w:rsidRPr="0024191E">
        <w:rPr>
          <w:rFonts w:cstheme="minorHAnsi"/>
          <w:sz w:val="24"/>
          <w:szCs w:val="24"/>
          <w:bdr w:val="none" w:sz="0" w:space="0" w:color="auto" w:frame="1"/>
          <w:shd w:val="clear" w:color="auto" w:fill="FFFFFF"/>
        </w:rPr>
        <w:t>„</w:t>
      </w:r>
      <w:r w:rsidRPr="0045470F">
        <w:rPr>
          <w:rFonts w:cstheme="minorHAnsi"/>
          <w:bCs/>
          <w:sz w:val="24"/>
          <w:szCs w:val="24"/>
        </w:rPr>
        <w:t>Pašalinimo pagrindų nebuvimą įrodantys dokumentai</w:t>
      </w:r>
      <w:r w:rsidRPr="0024191E">
        <w:rPr>
          <w:rFonts w:cstheme="minorHAnsi"/>
          <w:sz w:val="24"/>
          <w:szCs w:val="24"/>
          <w:bdr w:val="none" w:sz="0" w:space="0" w:color="auto" w:frame="1"/>
          <w:shd w:val="clear" w:color="auto" w:fill="FFFFFF"/>
        </w:rPr>
        <w:t xml:space="preserve">“ skilties </w:t>
      </w:r>
      <w:r w:rsidRPr="0024191E">
        <w:rPr>
          <w:rFonts w:eastAsia="Times New Roman" w:cstheme="minorHAnsi"/>
          <w:sz w:val="24"/>
          <w:szCs w:val="24"/>
          <w:lang w:val="lt"/>
        </w:rPr>
        <w:t xml:space="preserve">sąlyga. </w:t>
      </w:r>
    </w:p>
    <w:p w14:paraId="4CCABC58" w14:textId="77777777" w:rsidR="00615526" w:rsidRPr="0013505C" w:rsidRDefault="00615526" w:rsidP="00615526">
      <w:pPr>
        <w:spacing w:after="0" w:line="276" w:lineRule="auto"/>
        <w:rPr>
          <w:rFonts w:eastAsia="Times New Roman" w:cstheme="minorHAnsi"/>
          <w:sz w:val="24"/>
          <w:szCs w:val="24"/>
          <w:lang w:val="lt"/>
        </w:rPr>
      </w:pPr>
      <w:r w:rsidRPr="00823ABC">
        <w:rPr>
          <w:rFonts w:cstheme="minorHAnsi"/>
          <w:b/>
          <w:bCs/>
          <w:sz w:val="24"/>
          <w:szCs w:val="24"/>
        </w:rPr>
        <w:t>1.2.</w:t>
      </w:r>
      <w:r>
        <w:rPr>
          <w:rFonts w:cstheme="minorHAnsi"/>
          <w:sz w:val="24"/>
          <w:szCs w:val="24"/>
        </w:rPr>
        <w:t xml:space="preserve"> </w:t>
      </w:r>
      <w:r w:rsidRPr="0024191E">
        <w:rPr>
          <w:rFonts w:cstheme="minorHAnsi"/>
          <w:sz w:val="24"/>
          <w:szCs w:val="24"/>
        </w:rPr>
        <w:t xml:space="preserve">Taip pat pažymėtina, kad Įstatymo 46 straipsnio 1 ir 3 dalies pašalinimo pagrindai taikomi tiekėjui, „kuris yra juridinis asmuo, kita organizacija ar </w:t>
      </w:r>
      <w:r w:rsidRPr="0024191E">
        <w:rPr>
          <w:rFonts w:cstheme="minorHAnsi"/>
          <w:b/>
          <w:bCs/>
          <w:sz w:val="24"/>
          <w:szCs w:val="24"/>
        </w:rPr>
        <w:t>jos struktūrinis padalinys</w:t>
      </w:r>
      <w:r>
        <w:rPr>
          <w:rFonts w:cstheme="minorHAnsi"/>
          <w:b/>
          <w:bCs/>
          <w:sz w:val="24"/>
          <w:szCs w:val="24"/>
        </w:rPr>
        <w:t xml:space="preserve"> </w:t>
      </w:r>
      <w:r w:rsidRPr="0024191E">
        <w:rPr>
          <w:rFonts w:cstheme="minorHAnsi"/>
          <w:sz w:val="24"/>
          <w:szCs w:val="24"/>
        </w:rPr>
        <w:t xml:space="preserve">&lt;...&gt;“. Tarnyba </w:t>
      </w:r>
      <w:r w:rsidRPr="0013505C">
        <w:rPr>
          <w:rFonts w:cstheme="minorHAnsi"/>
          <w:sz w:val="24"/>
          <w:szCs w:val="24"/>
        </w:rPr>
        <w:t>rekomenduoja peržiūrėti ir atitinkamai patikslinti tiekėjų pašalinimo pagrindus.</w:t>
      </w:r>
    </w:p>
    <w:p w14:paraId="18A85390" w14:textId="77777777" w:rsidR="00615526" w:rsidRPr="00823ABC" w:rsidRDefault="00615526" w:rsidP="00615526">
      <w:pPr>
        <w:spacing w:after="0" w:line="276" w:lineRule="auto"/>
        <w:contextualSpacing/>
        <w:rPr>
          <w:rFonts w:cstheme="minorHAnsi"/>
          <w:color w:val="000000" w:themeColor="text1"/>
          <w:sz w:val="24"/>
          <w:szCs w:val="24"/>
        </w:rPr>
      </w:pPr>
      <w:r w:rsidRPr="0013505C">
        <w:rPr>
          <w:rFonts w:cstheme="minorHAnsi"/>
          <w:sz w:val="24"/>
          <w:szCs w:val="24"/>
          <w:lang w:eastAsia="lt-LT"/>
        </w:rPr>
        <w:t xml:space="preserve">Atkreiptinas dėmesys, kad siekiant padėti tinkamai suformuluoti pašalinimo pagrindų reikalavimus, Tarnyba yra parengusi ir paskelbusi atnaujintą pavyzdinę pašalinimo pagrindų lentelę </w:t>
      </w:r>
      <w:hyperlink r:id="rId7" w:history="1">
        <w:r w:rsidRPr="00823ABC">
          <w:rPr>
            <w:rFonts w:cstheme="minorHAnsi"/>
            <w:color w:val="0563C1" w:themeColor="hyperlink"/>
            <w:sz w:val="24"/>
            <w:szCs w:val="24"/>
            <w:lang w:eastAsia="lt-LT"/>
          </w:rPr>
          <w:t>https://vpt.lrv.lt/lt/metodine-pagalba/pavyzdiniai-dokumentai-3/pasalinimo-pagrindu-lentele/</w:t>
        </w:r>
      </w:hyperlink>
      <w:r w:rsidRPr="00823ABC">
        <w:rPr>
          <w:rFonts w:cstheme="minorHAnsi"/>
          <w:color w:val="000000" w:themeColor="text1"/>
          <w:sz w:val="24"/>
          <w:szCs w:val="24"/>
          <w:lang w:eastAsia="lt-LT"/>
        </w:rPr>
        <w:t>, todėl rengiant Pirkimo dokumentus rekomenduotina vadovautis šiuo dokumentu.</w:t>
      </w:r>
    </w:p>
    <w:p w14:paraId="0C9A7BC1" w14:textId="77777777" w:rsidR="00615526" w:rsidRPr="0013505C" w:rsidRDefault="00615526" w:rsidP="00615526">
      <w:pPr>
        <w:pStyle w:val="paragraph"/>
        <w:numPr>
          <w:ilvl w:val="0"/>
          <w:numId w:val="1"/>
        </w:numPr>
        <w:tabs>
          <w:tab w:val="left" w:pos="426"/>
        </w:tabs>
        <w:spacing w:before="0" w:beforeAutospacing="0" w:after="0" w:afterAutospacing="0" w:line="276" w:lineRule="auto"/>
        <w:ind w:left="0" w:hanging="11"/>
        <w:textAlignment w:val="baseline"/>
        <w:rPr>
          <w:rFonts w:asciiTheme="minorHAnsi" w:hAnsiTheme="minorHAnsi" w:cstheme="minorHAnsi"/>
          <w:b/>
          <w:bCs/>
        </w:rPr>
      </w:pPr>
      <w:r w:rsidRPr="0013505C">
        <w:rPr>
          <w:rFonts w:asciiTheme="minorHAnsi" w:hAnsiTheme="minorHAnsi" w:cstheme="minorHAnsi"/>
          <w:b/>
          <w:bCs/>
        </w:rPr>
        <w:t xml:space="preserve">Dėl </w:t>
      </w:r>
      <w:r w:rsidRPr="00823ABC">
        <w:rPr>
          <w:rFonts w:asciiTheme="minorHAnsi" w:hAnsiTheme="minorHAnsi" w:cstheme="minorHAnsi"/>
          <w:b/>
          <w:bCs/>
        </w:rPr>
        <w:t>tiekėjo kvalifikacijos reikalavimų</w:t>
      </w:r>
    </w:p>
    <w:p w14:paraId="1D8A56AF" w14:textId="77777777" w:rsidR="00615526" w:rsidRPr="00DB636B" w:rsidRDefault="00615526" w:rsidP="00615526">
      <w:pPr>
        <w:tabs>
          <w:tab w:val="left" w:pos="567"/>
        </w:tabs>
        <w:spacing w:after="0" w:line="276" w:lineRule="auto"/>
        <w:rPr>
          <w:rFonts w:cstheme="minorHAnsi"/>
          <w:sz w:val="24"/>
          <w:szCs w:val="24"/>
        </w:rPr>
      </w:pPr>
      <w:r w:rsidRPr="0013505C">
        <w:rPr>
          <w:rFonts w:eastAsia="Times New Roman" w:cstheme="minorHAnsi"/>
          <w:sz w:val="24"/>
          <w:szCs w:val="24"/>
          <w:lang w:val="lt"/>
        </w:rPr>
        <w:t>Pirkimo sąlygų 4 priedo „</w:t>
      </w:r>
      <w:r w:rsidRPr="0013505C">
        <w:rPr>
          <w:rFonts w:eastAsia="Calibri" w:cstheme="minorHAnsi"/>
          <w:color w:val="0D0D0D" w:themeColor="text1" w:themeTint="F2"/>
          <w:sz w:val="24"/>
          <w:szCs w:val="24"/>
        </w:rPr>
        <w:t>Tiekėjų kvalifikacijos reikalavimai ir reikalaujami aplinkos apsaugos vadybos sistemų standartai</w:t>
      </w:r>
      <w:r w:rsidRPr="0013505C">
        <w:rPr>
          <w:rFonts w:eastAsia="Times New Roman" w:cstheme="minorHAnsi"/>
          <w:sz w:val="24"/>
          <w:szCs w:val="24"/>
          <w:lang w:val="lt"/>
        </w:rPr>
        <w:t>“ lentelės „</w:t>
      </w:r>
      <w:r w:rsidRPr="0013505C">
        <w:rPr>
          <w:rFonts w:eastAsia="Arial" w:cstheme="minorHAnsi"/>
          <w:sz w:val="24"/>
          <w:szCs w:val="24"/>
        </w:rPr>
        <w:t xml:space="preserve">Tiekėjų kvalifikacijos reikalavimai“ </w:t>
      </w:r>
      <w:r w:rsidRPr="0013505C">
        <w:rPr>
          <w:rFonts w:eastAsia="Times New Roman" w:cstheme="minorHAnsi"/>
          <w:sz w:val="24"/>
          <w:szCs w:val="24"/>
          <w:lang w:val="lt"/>
        </w:rPr>
        <w:t xml:space="preserve">(toliau – Tiekėjų kvalifikacijos reikalavimai) 2.1 punkte nurodyta: </w:t>
      </w:r>
      <w:r w:rsidRPr="0013505C">
        <w:rPr>
          <w:rFonts w:eastAsia="Times New Roman" w:cstheme="minorHAnsi"/>
          <w:i/>
          <w:iCs/>
          <w:sz w:val="24"/>
          <w:szCs w:val="24"/>
          <w:lang w:val="lt"/>
        </w:rPr>
        <w:t>„</w:t>
      </w:r>
      <w:r w:rsidRPr="0013505C">
        <w:rPr>
          <w:rStyle w:val="markedcontent"/>
          <w:rFonts w:cstheme="minorHAnsi"/>
          <w:sz w:val="24"/>
          <w:szCs w:val="24"/>
        </w:rPr>
        <w:t xml:space="preserve">Tiekėjas per paskutinius 5 metus &lt;...&gt; iki pasiūlymo pateikimo termino pabaigos yra </w:t>
      </w:r>
      <w:r w:rsidRPr="00CF6D24">
        <w:rPr>
          <w:rStyle w:val="markedcontent"/>
          <w:rFonts w:cstheme="minorHAnsi"/>
          <w:sz w:val="24"/>
          <w:szCs w:val="24"/>
        </w:rPr>
        <w:t xml:space="preserve">atlikęs bent vieną </w:t>
      </w:r>
      <w:r w:rsidRPr="00CF6D24">
        <w:rPr>
          <w:rStyle w:val="markedcontent"/>
          <w:rFonts w:cstheme="minorHAnsi"/>
          <w:b/>
          <w:bCs/>
          <w:sz w:val="24"/>
          <w:szCs w:val="24"/>
        </w:rPr>
        <w:t>statybos** darbų</w:t>
      </w:r>
      <w:r w:rsidRPr="0013505C">
        <w:rPr>
          <w:rStyle w:val="markedcontent"/>
          <w:rFonts w:cstheme="minorHAnsi"/>
          <w:sz w:val="24"/>
          <w:szCs w:val="24"/>
        </w:rPr>
        <w:t xml:space="preserve"> susisiekimo komunikacijose (keliai, gatvės) </w:t>
      </w:r>
      <w:r w:rsidRPr="00CF6D24">
        <w:rPr>
          <w:rStyle w:val="markedcontent"/>
          <w:rFonts w:cstheme="minorHAnsi"/>
          <w:b/>
          <w:bCs/>
          <w:sz w:val="24"/>
          <w:szCs w:val="24"/>
        </w:rPr>
        <w:t>sutartį</w:t>
      </w:r>
      <w:r w:rsidRPr="0013505C">
        <w:rPr>
          <w:rStyle w:val="markedcontent"/>
          <w:rFonts w:cstheme="minorHAnsi"/>
          <w:sz w:val="24"/>
          <w:szCs w:val="24"/>
        </w:rPr>
        <w:t xml:space="preserve">, kurios vertė turi būti </w:t>
      </w:r>
      <w:r>
        <w:rPr>
          <w:rStyle w:val="markedcontent"/>
          <w:rFonts w:cstheme="minorHAnsi"/>
          <w:sz w:val="24"/>
          <w:szCs w:val="24"/>
        </w:rPr>
        <w:t xml:space="preserve">&lt;...&gt;. Bus vertinama </w:t>
      </w:r>
      <w:r w:rsidRPr="00CF6D24">
        <w:rPr>
          <w:rStyle w:val="markedcontent"/>
          <w:rFonts w:cstheme="minorHAnsi"/>
          <w:b/>
          <w:bCs/>
          <w:sz w:val="24"/>
          <w:szCs w:val="24"/>
        </w:rPr>
        <w:t>visa sutartis</w:t>
      </w:r>
      <w:r>
        <w:rPr>
          <w:rStyle w:val="markedcontent"/>
          <w:rFonts w:cstheme="minorHAnsi"/>
          <w:sz w:val="24"/>
          <w:szCs w:val="24"/>
        </w:rPr>
        <w:t>“</w:t>
      </w:r>
      <w:r w:rsidRPr="002D170D">
        <w:rPr>
          <w:rStyle w:val="markedcontent"/>
          <w:rFonts w:cstheme="minorHAnsi"/>
          <w:sz w:val="24"/>
          <w:szCs w:val="24"/>
        </w:rPr>
        <w:t>.</w:t>
      </w:r>
      <w:r>
        <w:rPr>
          <w:rFonts w:cstheme="minorHAnsi"/>
          <w:sz w:val="24"/>
          <w:szCs w:val="24"/>
        </w:rPr>
        <w:t xml:space="preserve"> </w:t>
      </w:r>
      <w:r w:rsidRPr="00DB636B">
        <w:rPr>
          <w:rFonts w:cstheme="minorHAnsi"/>
          <w:sz w:val="24"/>
          <w:szCs w:val="24"/>
        </w:rPr>
        <w:t xml:space="preserve">Prie atitiktį reikalavimui įrodančių dokumentų pateiktoje pastaboje nurodyta </w:t>
      </w:r>
      <w:r>
        <w:rPr>
          <w:rFonts w:cstheme="minorHAnsi"/>
          <w:sz w:val="24"/>
          <w:szCs w:val="24"/>
        </w:rPr>
        <w:t>„</w:t>
      </w:r>
      <w:r w:rsidRPr="00CF6D24">
        <w:rPr>
          <w:rFonts w:cstheme="minorHAnsi"/>
          <w:iCs/>
          <w:sz w:val="24"/>
          <w:szCs w:val="24"/>
        </w:rPr>
        <w:t xml:space="preserve">Sutarties pradžia gali nepatekti į pastarųjų 5 metų laikotarpį, šiuo atveju pateikiama įvykdytos </w:t>
      </w:r>
      <w:r w:rsidRPr="00CF6D24">
        <w:rPr>
          <w:rFonts w:cstheme="minorHAnsi"/>
          <w:b/>
          <w:bCs/>
          <w:iCs/>
          <w:sz w:val="24"/>
          <w:szCs w:val="24"/>
        </w:rPr>
        <w:t>sutarties dalies vertė</w:t>
      </w:r>
      <w:r w:rsidRPr="00CF6D24">
        <w:rPr>
          <w:rFonts w:cstheme="minorHAnsi"/>
          <w:iCs/>
          <w:sz w:val="24"/>
          <w:szCs w:val="24"/>
        </w:rPr>
        <w:t xml:space="preserve"> Eur be PVM per pastaruosius 5 metus (skaičiuoti iki pasiūlymo termino pabaigos) &lt;...&gt;“</w:t>
      </w:r>
      <w:r w:rsidRPr="00DB636B">
        <w:rPr>
          <w:rFonts w:cstheme="minorHAnsi"/>
          <w:i/>
          <w:sz w:val="24"/>
          <w:szCs w:val="24"/>
        </w:rPr>
        <w:t>.</w:t>
      </w:r>
    </w:p>
    <w:p w14:paraId="5F2C3A8F" w14:textId="77777777" w:rsidR="00615526" w:rsidRPr="005135E7" w:rsidRDefault="00615526" w:rsidP="00615526">
      <w:pPr>
        <w:spacing w:after="0" w:line="276" w:lineRule="auto"/>
        <w:rPr>
          <w:rFonts w:cstheme="minorHAnsi"/>
          <w:sz w:val="24"/>
          <w:szCs w:val="24"/>
        </w:rPr>
      </w:pPr>
      <w:r w:rsidRPr="005135E7">
        <w:rPr>
          <w:rFonts w:cstheme="minorHAnsi"/>
          <w:sz w:val="24"/>
          <w:szCs w:val="24"/>
        </w:rPr>
        <w:lastRenderedPageBreak/>
        <w:t>Tarnyba pažymi, kad Įstatymo 47 straipsnio 7 dalyje nustatyta, kad Tiekėjo kvalifikacijos reikalavimai nustatomi pagal Tiekėjo kvalifikacijos reikalavimų nustatymo metodiką</w:t>
      </w:r>
      <w:r w:rsidRPr="005135E7">
        <w:rPr>
          <w:rFonts w:cstheme="minorHAnsi"/>
          <w:sz w:val="24"/>
          <w:szCs w:val="24"/>
          <w:vertAlign w:val="superscript"/>
        </w:rPr>
        <w:footnoteReference w:id="1"/>
      </w:r>
      <w:r w:rsidRPr="005135E7">
        <w:rPr>
          <w:rFonts w:cstheme="minorHAnsi"/>
          <w:sz w:val="24"/>
          <w:szCs w:val="24"/>
        </w:rPr>
        <w:t xml:space="preserve"> (toliau – Metodika). Įstatymo 51 straipsnio 7 dalies 1 punkte ir Metodikos 16.1 punkte nurodyta, kad, kai pirkimo objektas dalus, turi būti nustatomas toks kvalifikacinis reikalavimas: </w:t>
      </w:r>
      <w:r w:rsidRPr="005135E7">
        <w:rPr>
          <w:rFonts w:cstheme="minorHAnsi"/>
          <w:i/>
          <w:iCs/>
          <w:sz w:val="24"/>
          <w:szCs w:val="24"/>
        </w:rPr>
        <w:t>„</w:t>
      </w:r>
      <w:r w:rsidRPr="00FD0B71">
        <w:rPr>
          <w:rFonts w:cstheme="minorHAnsi"/>
          <w:sz w:val="24"/>
          <w:szCs w:val="24"/>
        </w:rPr>
        <w:t xml:space="preserve">Tiekėjas per paskutinius 5* metus iki pasiūlymo pateikimo termino </w:t>
      </w:r>
      <w:r w:rsidRPr="00CF6D24">
        <w:rPr>
          <w:rFonts w:cstheme="minorHAnsi"/>
          <w:b/>
          <w:bCs/>
          <w:sz w:val="24"/>
          <w:szCs w:val="24"/>
        </w:rPr>
        <w:t>pabaigos pagal vieną ar daugiau sutarčių yra atlikęs darbų</w:t>
      </w:r>
      <w:r w:rsidRPr="00FD0B71">
        <w:rPr>
          <w:rFonts w:cstheme="minorHAnsi"/>
          <w:sz w:val="24"/>
          <w:szCs w:val="24"/>
        </w:rPr>
        <w:t xml:space="preserve"> &lt;...&gt;“</w:t>
      </w:r>
      <w:r w:rsidRPr="005135E7">
        <w:rPr>
          <w:rFonts w:cstheme="minorHAnsi"/>
          <w:i/>
          <w:iCs/>
          <w:sz w:val="24"/>
          <w:szCs w:val="24"/>
        </w:rPr>
        <w:t xml:space="preserve"> </w:t>
      </w:r>
      <w:r w:rsidRPr="005135E7">
        <w:rPr>
          <w:rFonts w:cstheme="minorHAnsi"/>
          <w:sz w:val="24"/>
          <w:szCs w:val="24"/>
        </w:rPr>
        <w:t xml:space="preserve">(o ne </w:t>
      </w:r>
      <w:r>
        <w:rPr>
          <w:rFonts w:cstheme="minorHAnsi"/>
          <w:sz w:val="24"/>
          <w:szCs w:val="24"/>
        </w:rPr>
        <w:t>atlikęs bent vieną &lt;...&gt; sutartį</w:t>
      </w:r>
      <w:r w:rsidRPr="005135E7">
        <w:rPr>
          <w:rFonts w:cstheme="minorHAnsi"/>
          <w:sz w:val="24"/>
          <w:szCs w:val="24"/>
        </w:rPr>
        <w:t xml:space="preserve">), o tiekėjo patirties įrodymui Perkančioji organizacija gali reikalauti </w:t>
      </w:r>
      <w:r w:rsidRPr="00CF6D24">
        <w:rPr>
          <w:rFonts w:cstheme="minorHAnsi"/>
          <w:b/>
          <w:bCs/>
          <w:sz w:val="24"/>
          <w:szCs w:val="24"/>
        </w:rPr>
        <w:t>atliktų darbų sąrašo</w:t>
      </w:r>
      <w:r w:rsidRPr="005135E7">
        <w:rPr>
          <w:rFonts w:cstheme="minorHAnsi"/>
          <w:sz w:val="24"/>
          <w:szCs w:val="24"/>
        </w:rPr>
        <w:t xml:space="preserve"> kartu su užsakovų pažymomis apie tai, kad svarbiausių darbų atlikimas ir galutiniai rezultatai buvo tinkami</w:t>
      </w:r>
      <w:r>
        <w:rPr>
          <w:rFonts w:cstheme="minorHAnsi"/>
          <w:sz w:val="24"/>
          <w:szCs w:val="24"/>
        </w:rPr>
        <w:t>.</w:t>
      </w:r>
    </w:p>
    <w:p w14:paraId="3ECF68A0" w14:textId="77777777" w:rsidR="00615526" w:rsidRDefault="00615526" w:rsidP="00615526">
      <w:pPr>
        <w:tabs>
          <w:tab w:val="left" w:pos="567"/>
          <w:tab w:val="left" w:pos="1843"/>
        </w:tabs>
        <w:spacing w:after="0" w:line="276" w:lineRule="auto"/>
        <w:contextualSpacing/>
        <w:rPr>
          <w:rFonts w:cstheme="minorHAnsi"/>
          <w:sz w:val="24"/>
          <w:szCs w:val="24"/>
        </w:rPr>
      </w:pPr>
      <w:r w:rsidRPr="006713D3">
        <w:rPr>
          <w:rFonts w:cstheme="minorHAnsi"/>
          <w:sz w:val="24"/>
          <w:szCs w:val="24"/>
        </w:rPr>
        <w:t>Tarnyba rekomenduoja tikslinti šį kvalifikacijos reikalavimą</w:t>
      </w:r>
      <w:r>
        <w:rPr>
          <w:rFonts w:cstheme="minorHAnsi"/>
          <w:sz w:val="24"/>
          <w:szCs w:val="24"/>
        </w:rPr>
        <w:t xml:space="preserve"> ir atitiktį reikalavimui įrodančius dokumentus</w:t>
      </w:r>
      <w:r w:rsidRPr="006713D3">
        <w:rPr>
          <w:rFonts w:cstheme="minorHAnsi"/>
          <w:sz w:val="24"/>
          <w:szCs w:val="24"/>
        </w:rPr>
        <w:t xml:space="preserve">, </w:t>
      </w:r>
      <w:r>
        <w:rPr>
          <w:rFonts w:cstheme="minorHAnsi"/>
          <w:sz w:val="24"/>
          <w:szCs w:val="24"/>
        </w:rPr>
        <w:t>aiškiai nurodant, kad bus vertinamos ne sutartys, o šiose sutartyse atliktų nurodytų darbų vertės.</w:t>
      </w:r>
    </w:p>
    <w:p w14:paraId="35ED9273" w14:textId="77777777" w:rsidR="00615526" w:rsidRPr="0065334E" w:rsidRDefault="00615526" w:rsidP="00615526">
      <w:pPr>
        <w:pStyle w:val="paragraph"/>
        <w:numPr>
          <w:ilvl w:val="0"/>
          <w:numId w:val="1"/>
        </w:numPr>
        <w:tabs>
          <w:tab w:val="left" w:pos="426"/>
        </w:tabs>
        <w:spacing w:before="0" w:beforeAutospacing="0" w:after="0" w:afterAutospacing="0" w:line="276" w:lineRule="auto"/>
        <w:ind w:left="0" w:firstLine="0"/>
        <w:textAlignment w:val="baseline"/>
        <w:rPr>
          <w:rFonts w:asciiTheme="minorHAnsi" w:hAnsiTheme="minorHAnsi" w:cstheme="minorHAnsi"/>
          <w:b/>
          <w:bCs/>
        </w:rPr>
      </w:pPr>
      <w:r w:rsidRPr="0065334E">
        <w:rPr>
          <w:rFonts w:asciiTheme="minorHAnsi" w:hAnsiTheme="minorHAnsi" w:cstheme="minorHAnsi"/>
          <w:b/>
          <w:bCs/>
        </w:rPr>
        <w:t>Dėl žaliojo pirkimo kriterijų taikymo</w:t>
      </w:r>
    </w:p>
    <w:p w14:paraId="761814D3" w14:textId="77777777" w:rsidR="00615526" w:rsidRDefault="00615526" w:rsidP="00615526">
      <w:pPr>
        <w:pStyle w:val="Sraopastraipa"/>
        <w:numPr>
          <w:ilvl w:val="1"/>
          <w:numId w:val="1"/>
        </w:numPr>
        <w:tabs>
          <w:tab w:val="left" w:pos="567"/>
          <w:tab w:val="left" w:pos="1276"/>
        </w:tabs>
        <w:spacing w:after="0" w:line="276" w:lineRule="auto"/>
        <w:ind w:left="0" w:firstLine="0"/>
        <w:textAlignment w:val="baseline"/>
        <w:rPr>
          <w:rFonts w:eastAsia="Times New Roman" w:cstheme="minorHAnsi"/>
          <w:sz w:val="24"/>
          <w:szCs w:val="24"/>
        </w:rPr>
      </w:pPr>
      <w:r w:rsidRPr="009566D3">
        <w:rPr>
          <w:rFonts w:eastAsia="Times New Roman" w:cstheme="minorHAnsi"/>
          <w:sz w:val="24"/>
          <w:szCs w:val="24"/>
        </w:rPr>
        <w:t xml:space="preserve">Skelbime apie </w:t>
      </w:r>
      <w:r>
        <w:rPr>
          <w:rFonts w:eastAsia="Times New Roman" w:cstheme="minorHAnsi"/>
          <w:sz w:val="24"/>
          <w:szCs w:val="24"/>
        </w:rPr>
        <w:t>p</w:t>
      </w:r>
      <w:r w:rsidRPr="009566D3">
        <w:rPr>
          <w:rFonts w:eastAsia="Times New Roman" w:cstheme="minorHAnsi"/>
          <w:sz w:val="24"/>
          <w:szCs w:val="24"/>
        </w:rPr>
        <w:t xml:space="preserve">irkimą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w:t>
      </w:r>
      <w:r w:rsidRPr="009566D3">
        <w:rPr>
          <w:rFonts w:eastAsia="Times New Roman" w:cstheme="minorHAnsi"/>
          <w:b/>
          <w:bCs/>
          <w:sz w:val="24"/>
          <w:szCs w:val="24"/>
        </w:rPr>
        <w:t>4.3 papunktį</w:t>
      </w:r>
      <w:r w:rsidRPr="009566D3">
        <w:rPr>
          <w:rFonts w:eastAsia="Times New Roman" w:cstheme="minorHAnsi"/>
          <w:sz w:val="24"/>
          <w:szCs w:val="24"/>
        </w:rPr>
        <w:t xml:space="preserve"> („</w:t>
      </w:r>
      <w:r w:rsidRPr="00CF6D24">
        <w:rPr>
          <w:rFonts w:eastAsia="Times New Roman" w:cstheme="minorHAnsi"/>
          <w:b/>
          <w:bCs/>
          <w:sz w:val="24"/>
          <w:szCs w:val="24"/>
        </w:rPr>
        <w:t>nėra produktų sąraše</w:t>
      </w:r>
      <w:r w:rsidRPr="009566D3">
        <w:rPr>
          <w:rFonts w:eastAsia="Times New Roman" w:cstheme="minorHAnsi"/>
          <w:sz w:val="24"/>
          <w:szCs w:val="24"/>
        </w:rPr>
        <w:t>, bet perkamai paslaugai ar darbui tiekėjas taiko aplinkos apsaugos vadybos sistemos reikalavimus pagal standartą &lt;...&gt;“).</w:t>
      </w:r>
    </w:p>
    <w:p w14:paraId="14E3D4B2" w14:textId="77777777" w:rsidR="00615526" w:rsidRPr="00DB1234" w:rsidRDefault="00615526" w:rsidP="00615526">
      <w:pPr>
        <w:spacing w:after="0" w:line="276" w:lineRule="auto"/>
        <w:textAlignment w:val="baseline"/>
        <w:rPr>
          <w:rFonts w:eastAsia="Times New Roman" w:cstheme="minorHAnsi"/>
          <w:sz w:val="24"/>
          <w:szCs w:val="24"/>
        </w:rPr>
      </w:pPr>
      <w:r w:rsidRPr="00AD40F5">
        <w:rPr>
          <w:rFonts w:eastAsia="Times New Roman" w:cstheme="minorHAnsi"/>
          <w:sz w:val="24"/>
          <w:szCs w:val="24"/>
        </w:rPr>
        <w:t>Pažymima, kad Pirkimo objektas (</w:t>
      </w:r>
      <w:r>
        <w:rPr>
          <w:rFonts w:eastAsia="Times New Roman" w:cstheme="minorHAnsi"/>
          <w:sz w:val="24"/>
          <w:szCs w:val="24"/>
        </w:rPr>
        <w:t xml:space="preserve">kelio </w:t>
      </w:r>
      <w:r w:rsidRPr="00AD40F5">
        <w:rPr>
          <w:rFonts w:eastAsia="Times New Roman" w:cstheme="minorHAnsi"/>
          <w:sz w:val="24"/>
          <w:szCs w:val="24"/>
        </w:rPr>
        <w:t>paprastojo remonto darbai) patenka į Tvarkos aprašo priede Nr. 1 „Produktų, kurių viešiesiems pirkimams ir pirkimams taikytini minimalūs aplinkos apsaugos kriterijai, sąrašas“ nurodytą sąrašą, t. y. 17.1 papunktį „Kelių</w:t>
      </w:r>
      <w:r w:rsidRPr="00AD40F5">
        <w:rPr>
          <w:rFonts w:eastAsia="Times New Roman" w:cstheme="minorHAnsi"/>
          <w:i/>
          <w:iCs/>
          <w:sz w:val="24"/>
          <w:szCs w:val="24"/>
        </w:rPr>
        <w:t xml:space="preserve"> </w:t>
      </w:r>
      <w:r w:rsidRPr="00AD40F5">
        <w:rPr>
          <w:rFonts w:eastAsia="Times New Roman" w:cstheme="minorHAnsi"/>
          <w:sz w:val="24"/>
          <w:szCs w:val="24"/>
        </w:rPr>
        <w:t>projektavimo paslaugos ir jų statybos darbai“. Tvarkos aprašo 4 punkte nustatyta, kad pirkimas laikomas žaliuoju, kai perkama prekė, paslauga arba darbas tenkina bent vieną iš žemiau esančių papunkčių:</w:t>
      </w:r>
      <w:r w:rsidRPr="00AD40F5">
        <w:rPr>
          <w:rFonts w:eastAsia="Times New Roman" w:cstheme="minorHAnsi"/>
          <w:b/>
          <w:bCs/>
          <w:sz w:val="24"/>
          <w:szCs w:val="24"/>
        </w:rPr>
        <w:t>  4.1. „</w:t>
      </w:r>
      <w:r w:rsidRPr="00CF6D24">
        <w:rPr>
          <w:rFonts w:eastAsia="Times New Roman" w:cstheme="minorHAnsi"/>
          <w:b/>
          <w:bCs/>
          <w:sz w:val="24"/>
          <w:szCs w:val="24"/>
        </w:rPr>
        <w:t> yra Produktų</w:t>
      </w:r>
      <w:r w:rsidRPr="00AD40F5">
        <w:rPr>
          <w:rFonts w:eastAsia="Times New Roman" w:cstheme="minorHAnsi"/>
          <w:sz w:val="24"/>
          <w:szCs w:val="24"/>
        </w:rPr>
        <w:t xml:space="preserve">, kurių viešiesiems pirkimams ir pirkimams taikytini minimalūs aplinkos apsaugos kriterijai, </w:t>
      </w:r>
      <w:r w:rsidRPr="00CF6D24">
        <w:rPr>
          <w:rFonts w:eastAsia="Times New Roman" w:cstheme="minorHAnsi"/>
          <w:b/>
          <w:bCs/>
          <w:sz w:val="24"/>
          <w:szCs w:val="24"/>
        </w:rPr>
        <w:t>sąraše</w:t>
      </w:r>
      <w:r w:rsidRPr="00AD40F5">
        <w:rPr>
          <w:rFonts w:eastAsia="Times New Roman" w:cstheme="minorHAnsi"/>
          <w:sz w:val="24"/>
          <w:szCs w:val="24"/>
        </w:rPr>
        <w:t>, nurodytame Tvarkos aprašo 1 priede ir atitinka visus produktui nustatytus ir aplinkos ministro įsakymu patvirtintus minimalius aplinkos apsaugos kriterijus, nurodytus Tvarkos aprašo 2 priede“. </w:t>
      </w:r>
    </w:p>
    <w:p w14:paraId="036375D4" w14:textId="77777777" w:rsidR="00615526" w:rsidRPr="00365FE8" w:rsidRDefault="00615526" w:rsidP="00615526">
      <w:pPr>
        <w:spacing w:after="0" w:line="276" w:lineRule="auto"/>
        <w:contextualSpacing/>
        <w:rPr>
          <w:rFonts w:eastAsia="Times New Roman" w:cstheme="minorHAnsi"/>
          <w:bCs/>
          <w:sz w:val="24"/>
          <w:szCs w:val="24"/>
        </w:rPr>
      </w:pPr>
      <w:r>
        <w:rPr>
          <w:rFonts w:eastAsia="Times New Roman" w:cstheme="minorHAnsi"/>
          <w:sz w:val="24"/>
          <w:szCs w:val="24"/>
        </w:rPr>
        <w:t>Atsižvelgiant į aukščiau nurodytą, s</w:t>
      </w:r>
      <w:r w:rsidRPr="00AD40F5">
        <w:rPr>
          <w:rFonts w:eastAsia="Times New Roman" w:cstheme="minorHAnsi"/>
          <w:sz w:val="24"/>
          <w:szCs w:val="24"/>
        </w:rPr>
        <w:t>kelbim</w:t>
      </w:r>
      <w:r>
        <w:rPr>
          <w:rFonts w:eastAsia="Times New Roman" w:cstheme="minorHAnsi"/>
          <w:sz w:val="24"/>
          <w:szCs w:val="24"/>
        </w:rPr>
        <w:t>e</w:t>
      </w:r>
      <w:r w:rsidRPr="00AD40F5">
        <w:rPr>
          <w:rFonts w:eastAsia="Times New Roman" w:cstheme="minorHAnsi"/>
          <w:sz w:val="24"/>
          <w:szCs w:val="24"/>
        </w:rPr>
        <w:t xml:space="preserve"> apie </w:t>
      </w:r>
      <w:r>
        <w:rPr>
          <w:rFonts w:eastAsia="Times New Roman" w:cstheme="minorHAnsi"/>
          <w:sz w:val="24"/>
          <w:szCs w:val="24"/>
        </w:rPr>
        <w:t>p</w:t>
      </w:r>
      <w:r w:rsidRPr="00AD40F5">
        <w:rPr>
          <w:rFonts w:eastAsia="Times New Roman" w:cstheme="minorHAnsi"/>
          <w:sz w:val="24"/>
          <w:szCs w:val="24"/>
        </w:rPr>
        <w:t xml:space="preserve">irkimą informacija nurodyta neteisingai. </w:t>
      </w:r>
      <w:r>
        <w:rPr>
          <w:rFonts w:eastAsia="Times New Roman" w:cstheme="minorHAnsi"/>
          <w:bCs/>
          <w:sz w:val="24"/>
          <w:szCs w:val="24"/>
        </w:rPr>
        <w:t>Pažymėtina</w:t>
      </w:r>
      <w:r w:rsidRPr="00365FE8">
        <w:rPr>
          <w:rFonts w:eastAsia="Times New Roman" w:cstheme="minorHAnsi"/>
          <w:bCs/>
          <w:sz w:val="24"/>
          <w:szCs w:val="24"/>
        </w:rPr>
        <w:t xml:space="preserve">, kad patikslinti šios informacijos </w:t>
      </w:r>
      <w:r>
        <w:rPr>
          <w:rFonts w:eastAsia="Times New Roman" w:cstheme="minorHAnsi"/>
          <w:bCs/>
          <w:sz w:val="24"/>
          <w:szCs w:val="24"/>
        </w:rPr>
        <w:t>s</w:t>
      </w:r>
      <w:r w:rsidRPr="00365FE8">
        <w:rPr>
          <w:rFonts w:eastAsia="Times New Roman" w:cstheme="minorHAnsi"/>
          <w:bCs/>
          <w:sz w:val="24"/>
          <w:szCs w:val="24"/>
        </w:rPr>
        <w:t xml:space="preserve">kelbime apie pirkimą užpildant Klaidų ištaisymo skelbimus galimybės nėra, rekomenduotina ateityje </w:t>
      </w:r>
      <w:r>
        <w:rPr>
          <w:rFonts w:eastAsia="Times New Roman" w:cstheme="minorHAnsi"/>
          <w:bCs/>
          <w:sz w:val="24"/>
          <w:szCs w:val="24"/>
        </w:rPr>
        <w:t>s</w:t>
      </w:r>
      <w:r w:rsidRPr="00365FE8">
        <w:rPr>
          <w:rFonts w:eastAsia="Times New Roman" w:cstheme="minorHAnsi"/>
          <w:bCs/>
          <w:sz w:val="24"/>
          <w:szCs w:val="24"/>
        </w:rPr>
        <w:t xml:space="preserve">kelbimų apie pirkimą skiltyje „Žalia informacija“ atidžiai pildyti informaciją apie taikomus aplinkosauginius kriterijus, nes būtent perkančiųjų organizacijų skelbimuose apie pirkimą pateiktų duomenų pagrindu įgyvendinama galimybė analizuoti informaciją apie žaliuosius pirkimus Centriniame viešųjų pirkimų portale (CVPP) ir analitiniame stebėsenos įrankyje „Žalieji pirkimai pagal pirkimų skelbimuose pildomą informaciją“. Detalesnė informacija apie laukų pildymą skelbimų formose pateikta </w:t>
      </w:r>
      <w:hyperlink r:id="rId8" w:history="1">
        <w:r w:rsidRPr="00365FE8">
          <w:rPr>
            <w:rStyle w:val="Hipersaitas"/>
            <w:rFonts w:eastAsia="Times New Roman" w:cstheme="minorHAnsi"/>
            <w:bCs/>
            <w:sz w:val="24"/>
            <w:szCs w:val="24"/>
          </w:rPr>
          <w:t>čia</w:t>
        </w:r>
      </w:hyperlink>
      <w:r w:rsidRPr="00365FE8">
        <w:rPr>
          <w:rFonts w:eastAsia="Times New Roman" w:cstheme="minorHAnsi"/>
          <w:bCs/>
          <w:sz w:val="24"/>
          <w:szCs w:val="24"/>
        </w:rPr>
        <w:t>.</w:t>
      </w:r>
    </w:p>
    <w:p w14:paraId="19ABEC3B" w14:textId="77777777" w:rsidR="00615526" w:rsidRPr="00D400EE" w:rsidRDefault="00615526" w:rsidP="00615526">
      <w:pPr>
        <w:pStyle w:val="Sraopastraipa"/>
        <w:numPr>
          <w:ilvl w:val="1"/>
          <w:numId w:val="1"/>
        </w:numPr>
        <w:tabs>
          <w:tab w:val="left" w:pos="567"/>
          <w:tab w:val="left" w:pos="1276"/>
        </w:tabs>
        <w:autoSpaceDE w:val="0"/>
        <w:autoSpaceDN w:val="0"/>
        <w:adjustRightInd w:val="0"/>
        <w:spacing w:after="0" w:line="276" w:lineRule="auto"/>
        <w:ind w:left="0" w:firstLine="0"/>
        <w:textAlignment w:val="baseline"/>
        <w:rPr>
          <w:rStyle w:val="FontStyle14"/>
          <w:rFonts w:eastAsia="Times New Roman" w:cstheme="minorHAnsi"/>
          <w:kern w:val="2"/>
          <w:sz w:val="24"/>
          <w:szCs w:val="24"/>
          <w:lang w:eastAsia="lt-LT"/>
          <w14:ligatures w14:val="standardContextual"/>
        </w:rPr>
      </w:pPr>
      <w:r w:rsidRPr="00B33C94">
        <w:rPr>
          <w:rFonts w:eastAsia="Times New Roman" w:cstheme="minorHAnsi"/>
          <w:color w:val="000000" w:themeColor="text1"/>
          <w:sz w:val="24"/>
          <w:szCs w:val="24"/>
          <w:lang w:val="lt"/>
        </w:rPr>
        <w:lastRenderedPageBreak/>
        <w:t>Pirkimo sąlygų 4 priedo</w:t>
      </w:r>
      <w:r w:rsidRPr="006A6182">
        <w:rPr>
          <w:rFonts w:eastAsia="Times New Roman" w:cstheme="minorHAnsi"/>
          <w:color w:val="000000" w:themeColor="text1"/>
          <w:sz w:val="24"/>
          <w:szCs w:val="24"/>
        </w:rPr>
        <w:t xml:space="preserve"> „</w:t>
      </w:r>
      <w:r w:rsidRPr="006A6182">
        <w:rPr>
          <w:rFonts w:eastAsia="Calibri" w:cstheme="minorHAnsi"/>
          <w:sz w:val="24"/>
          <w:szCs w:val="24"/>
        </w:rPr>
        <w:t>Tiekėjams keliami aplinkos apsaugos vadybos sistemos standartų reikalavi</w:t>
      </w:r>
      <w:bookmarkStart w:id="0" w:name="_heading=h.3rdcrjn" w:colFirst="0" w:colLast="0"/>
      <w:bookmarkEnd w:id="0"/>
      <w:r w:rsidRPr="006A6182">
        <w:rPr>
          <w:rFonts w:eastAsia="Calibri" w:cstheme="minorHAnsi"/>
          <w:sz w:val="24"/>
          <w:szCs w:val="24"/>
        </w:rPr>
        <w:t xml:space="preserve">mai“ lentelės (toliau – </w:t>
      </w:r>
      <w:r w:rsidRPr="006A6182">
        <w:rPr>
          <w:rFonts w:eastAsia="Times New Roman" w:cstheme="minorHAnsi"/>
          <w:kern w:val="2"/>
          <w:sz w:val="24"/>
          <w:szCs w:val="24"/>
          <w:lang w:eastAsia="lt-LT"/>
        </w:rPr>
        <w:t>Aplinkos apsaugos reikalavimai)</w:t>
      </w:r>
      <w:r w:rsidRPr="006A6182">
        <w:rPr>
          <w:rFonts w:eastAsia="Calibri" w:cstheme="minorHAnsi"/>
          <w:sz w:val="24"/>
          <w:szCs w:val="24"/>
        </w:rPr>
        <w:t xml:space="preserve"> 1.1 punkto antrame stulpelyje „</w:t>
      </w:r>
      <w:r w:rsidRPr="006A6182">
        <w:rPr>
          <w:rFonts w:cstheme="minorHAnsi"/>
          <w:color w:val="000000"/>
          <w:sz w:val="24"/>
          <w:szCs w:val="24"/>
        </w:rPr>
        <w:t xml:space="preserve">Reikalavimas </w:t>
      </w:r>
      <w:r w:rsidRPr="006A6182">
        <w:rPr>
          <w:rFonts w:cstheme="minorHAnsi"/>
          <w:sz w:val="24"/>
          <w:szCs w:val="24"/>
        </w:rPr>
        <w:t xml:space="preserve">dėl </w:t>
      </w:r>
      <w:r w:rsidRPr="006A6182">
        <w:rPr>
          <w:rFonts w:eastAsia="Calibri" w:cstheme="minorHAnsi"/>
          <w:iCs/>
          <w:sz w:val="24"/>
          <w:szCs w:val="24"/>
        </w:rPr>
        <w:t>aplinkos apsaugos vadybos sistemos standartų</w:t>
      </w:r>
      <w:r w:rsidRPr="006A6182">
        <w:rPr>
          <w:rFonts w:cstheme="minorHAnsi"/>
          <w:sz w:val="24"/>
          <w:szCs w:val="24"/>
        </w:rPr>
        <w:t xml:space="preserve"> laikymosi“ nustatyta, kad „</w:t>
      </w:r>
      <w:r w:rsidRPr="006A6182">
        <w:rPr>
          <w:rStyle w:val="FontStyle14"/>
          <w:rFonts w:cstheme="minorHAnsi"/>
          <w:sz w:val="24"/>
          <w:szCs w:val="24"/>
        </w:rPr>
        <w:t>Tiekėjas (</w:t>
      </w:r>
      <w:r w:rsidRPr="006A6182">
        <w:rPr>
          <w:rStyle w:val="FontStyle14"/>
          <w:rFonts w:cstheme="minorHAnsi"/>
          <w:b/>
          <w:bCs/>
          <w:sz w:val="24"/>
          <w:szCs w:val="24"/>
        </w:rPr>
        <w:t>bent vienas iš tiekėjų grupės partnerių</w:t>
      </w:r>
      <w:r w:rsidRPr="006A6182">
        <w:rPr>
          <w:rStyle w:val="FontStyle14"/>
          <w:rFonts w:cstheme="minorHAnsi"/>
          <w:sz w:val="24"/>
          <w:szCs w:val="24"/>
        </w:rPr>
        <w:t>) atliekamiems darbams taiko aplinkos apsaugos vadybos sistemos reikalavimus pagal standartą LST EN ISO 14001 arba EMAS ar kitus aplinkos apsaugos vadybos standartus, &lt;...&gt;“.</w:t>
      </w:r>
      <w:r>
        <w:rPr>
          <w:rStyle w:val="FontStyle14"/>
          <w:rFonts w:cstheme="minorHAnsi"/>
          <w:sz w:val="24"/>
          <w:szCs w:val="24"/>
        </w:rPr>
        <w:t>Tarnyba rekomenduoja tikslinti sąlygą „Tiekėjas (</w:t>
      </w:r>
      <w:r w:rsidRPr="00053048">
        <w:rPr>
          <w:rStyle w:val="FontStyle14"/>
          <w:rFonts w:cstheme="minorHAnsi"/>
          <w:b/>
          <w:bCs/>
          <w:sz w:val="24"/>
          <w:szCs w:val="24"/>
        </w:rPr>
        <w:t>bent vienas</w:t>
      </w:r>
      <w:r>
        <w:rPr>
          <w:rStyle w:val="FontStyle14"/>
          <w:rFonts w:cstheme="minorHAnsi"/>
          <w:sz w:val="24"/>
          <w:szCs w:val="24"/>
        </w:rPr>
        <w:t xml:space="preserve"> iš tiekėjų grupės partnerių)“, kadangi </w:t>
      </w:r>
      <w:r w:rsidRPr="00983D9F">
        <w:rPr>
          <w:rStyle w:val="FontStyle14"/>
          <w:rFonts w:cstheme="minorHAnsi"/>
          <w:b/>
          <w:bCs/>
          <w:sz w:val="24"/>
          <w:szCs w:val="24"/>
        </w:rPr>
        <w:t>kiekvienas</w:t>
      </w:r>
      <w:r>
        <w:rPr>
          <w:rStyle w:val="FontStyle14"/>
          <w:rFonts w:cstheme="minorHAnsi"/>
          <w:sz w:val="24"/>
          <w:szCs w:val="24"/>
        </w:rPr>
        <w:t xml:space="preserve"> (ne bent vienas ir ne visi kartu) tiekėjų grupės narys privalo atitikti reikalavimą </w:t>
      </w:r>
      <w:r w:rsidRPr="00983D9F">
        <w:rPr>
          <w:rStyle w:val="FontStyle14"/>
          <w:rFonts w:cstheme="minorHAnsi"/>
          <w:b/>
          <w:bCs/>
          <w:sz w:val="24"/>
          <w:szCs w:val="24"/>
        </w:rPr>
        <w:t>pagal jų prisiimamus įsipareigojimus pirkimo sutarčiai vykdyti</w:t>
      </w:r>
      <w:r>
        <w:rPr>
          <w:rStyle w:val="FontStyle14"/>
          <w:rFonts w:cstheme="minorHAnsi"/>
          <w:sz w:val="24"/>
          <w:szCs w:val="24"/>
        </w:rPr>
        <w:t>.</w:t>
      </w:r>
    </w:p>
    <w:p w14:paraId="73925F55" w14:textId="77777777" w:rsidR="00615526" w:rsidRPr="009D6EB1" w:rsidRDefault="00615526" w:rsidP="00615526">
      <w:pPr>
        <w:pStyle w:val="Sraopastraipa"/>
        <w:numPr>
          <w:ilvl w:val="1"/>
          <w:numId w:val="1"/>
        </w:numPr>
        <w:tabs>
          <w:tab w:val="left" w:pos="567"/>
        </w:tabs>
        <w:spacing w:after="0" w:line="276" w:lineRule="auto"/>
        <w:ind w:left="0" w:firstLine="0"/>
        <w:rPr>
          <w:rFonts w:eastAsia="Times New Roman" w:cstheme="minorHAnsi"/>
          <w:color w:val="000000" w:themeColor="text1"/>
          <w:kern w:val="2"/>
          <w:sz w:val="24"/>
          <w:szCs w:val="24"/>
          <w14:ligatures w14:val="standardContextual"/>
        </w:rPr>
      </w:pPr>
      <w:r w:rsidRPr="00963A86">
        <w:rPr>
          <w:rFonts w:eastAsia="Calibri" w:cstheme="minorHAnsi"/>
          <w:sz w:val="24"/>
          <w:szCs w:val="24"/>
        </w:rPr>
        <w:t>Atsižvelgiant į tai, kad Pirkimo sutarties vykdymo metu Perkančioji organizacija privalo prižiūrėti, kaip tiekėjas laikosi (taiko) nustatytų aplinkos apsaugos reikalavimų, Pirkimo dokumentuose turi būti tiksliai ir aiškiai nustatytas tokios priežiūros (patikros) mechanizmas, t. y. nustatyta</w:t>
      </w:r>
      <w:r>
        <w:rPr>
          <w:rFonts w:eastAsia="Calibri" w:cstheme="minorHAnsi"/>
          <w:sz w:val="24"/>
          <w:szCs w:val="24"/>
        </w:rPr>
        <w:t>,</w:t>
      </w:r>
      <w:r w:rsidRPr="00963A86">
        <w:rPr>
          <w:rFonts w:eastAsia="Calibri" w:cstheme="minorHAnsi"/>
          <w:sz w:val="24"/>
          <w:szCs w:val="24"/>
        </w:rPr>
        <w:t xml:space="preserve"> </w:t>
      </w:r>
      <w:r w:rsidRPr="00963A86">
        <w:rPr>
          <w:rFonts w:eastAsia="Times New Roman" w:cstheme="minorHAnsi"/>
          <w:color w:val="000000" w:themeColor="text1"/>
          <w:kern w:val="2"/>
          <w:sz w:val="24"/>
          <w:szCs w:val="24"/>
          <w14:ligatures w14:val="standardContextual"/>
        </w:rPr>
        <w:t>kaip sutarties vykdymo metu bus tikrinama atitiktis nustatytiems reikalavimams bei nurodyta, kada ir kokius dokumentus turės pateikti tiekėjas, siekdamas pagrįsti atitiktį nustatytiems reikalavimams</w:t>
      </w:r>
      <w:r>
        <w:rPr>
          <w:rFonts w:eastAsia="Times New Roman" w:cstheme="minorHAnsi"/>
          <w:color w:val="000000" w:themeColor="text1"/>
          <w:kern w:val="2"/>
          <w:sz w:val="24"/>
          <w:szCs w:val="24"/>
          <w14:ligatures w14:val="standardContextual"/>
        </w:rPr>
        <w:t>, kokios sankcijos bus taikomos už šių įsipareigojimų nevykdymą</w:t>
      </w:r>
      <w:r w:rsidRPr="00963A86">
        <w:rPr>
          <w:rFonts w:eastAsia="Times New Roman" w:cstheme="minorHAnsi"/>
          <w:color w:val="000000" w:themeColor="text1"/>
          <w:kern w:val="2"/>
          <w:sz w:val="24"/>
          <w:szCs w:val="24"/>
          <w14:ligatures w14:val="standardContextual"/>
        </w:rPr>
        <w:t xml:space="preserve">. Perkančioji organizacija, siekdama Pirkimą vykdyti kaip žaliąjį pirkimą, neturi nustatyti tik deklaratyvių </w:t>
      </w:r>
      <w:r w:rsidRPr="009D6EB1">
        <w:rPr>
          <w:rFonts w:eastAsia="Times New Roman" w:cstheme="minorHAnsi"/>
          <w:color w:val="000000" w:themeColor="text1"/>
          <w:kern w:val="2"/>
          <w:sz w:val="24"/>
          <w:szCs w:val="24"/>
          <w14:ligatures w14:val="standardContextual"/>
        </w:rPr>
        <w:t>reikalavimų, o Pirkimo dokumentuose turi tiksliai ir aiškiai nustatyti žaliojo Pirkimo sąlygas ir užtikrinti jų laikymąsi sutarties vykdymo metu.</w:t>
      </w:r>
    </w:p>
    <w:p w14:paraId="51604028" w14:textId="77777777" w:rsidR="00615526" w:rsidRDefault="00615526" w:rsidP="00615526">
      <w:pPr>
        <w:pStyle w:val="Bodytext2"/>
        <w:tabs>
          <w:tab w:val="left" w:pos="709"/>
          <w:tab w:val="left" w:pos="1560"/>
        </w:tabs>
        <w:spacing w:before="0" w:line="276" w:lineRule="auto"/>
        <w:ind w:firstLine="0"/>
        <w:jc w:val="left"/>
        <w:rPr>
          <w:rFonts w:asciiTheme="minorHAnsi" w:hAnsiTheme="minorHAnsi" w:cstheme="minorHAnsi"/>
          <w:sz w:val="24"/>
          <w:szCs w:val="24"/>
        </w:rPr>
      </w:pPr>
      <w:r w:rsidRPr="009D6EB1">
        <w:rPr>
          <w:rFonts w:asciiTheme="minorHAnsi" w:eastAsia="Times New Roman" w:hAnsiTheme="minorHAnsi" w:cstheme="minorHAnsi"/>
          <w:sz w:val="24"/>
          <w:szCs w:val="24"/>
        </w:rPr>
        <w:t>Tarnyba prašo paaiškinti, kokias sankcijas Perkančioji organizacija taikys už Pirkimo sutarties projekto (Pirkimo sąlygų 7 priedas) (toliau – Sutarties projektas) 8.4.4</w:t>
      </w:r>
      <w:r w:rsidRPr="009D6EB1">
        <w:rPr>
          <w:rStyle w:val="Puslapioinaosnuoroda"/>
          <w:rFonts w:asciiTheme="minorHAnsi" w:eastAsia="Times New Roman" w:hAnsiTheme="minorHAnsi" w:cstheme="minorHAnsi"/>
          <w:sz w:val="24"/>
          <w:szCs w:val="24"/>
        </w:rPr>
        <w:footnoteReference w:id="2"/>
      </w:r>
      <w:r w:rsidRPr="009D6EB1">
        <w:rPr>
          <w:rFonts w:asciiTheme="minorHAnsi" w:hAnsiTheme="minorHAnsi" w:cstheme="minorHAnsi"/>
          <w:sz w:val="24"/>
          <w:szCs w:val="24"/>
          <w:bdr w:val="none" w:sz="0" w:space="0" w:color="auto" w:frame="1"/>
        </w:rPr>
        <w:t xml:space="preserve"> punkte</w:t>
      </w:r>
      <w:r w:rsidRPr="009D6EB1">
        <w:rPr>
          <w:rFonts w:asciiTheme="minorHAnsi" w:eastAsia="Times New Roman" w:hAnsiTheme="minorHAnsi" w:cstheme="minorHAnsi"/>
          <w:sz w:val="24"/>
          <w:szCs w:val="24"/>
        </w:rPr>
        <w:t xml:space="preserve"> nurodytų aplinkos apsaugos priemonių taikymo nevykdymą. Pažymėtina, jog Perkančioji organizacija nustatė sankcijų mechanizmą (</w:t>
      </w:r>
      <w:r w:rsidRPr="009D6EB1">
        <w:rPr>
          <w:rFonts w:asciiTheme="minorHAnsi" w:hAnsiTheme="minorHAnsi" w:cstheme="minorHAnsi"/>
          <w:sz w:val="24"/>
          <w:szCs w:val="24"/>
        </w:rPr>
        <w:t xml:space="preserve">teisę nutraukti sutartį dėl esminio jos pažeidimo </w:t>
      </w:r>
      <w:r w:rsidRPr="009D6EB1">
        <w:rPr>
          <w:rFonts w:asciiTheme="minorHAnsi" w:eastAsia="Times New Roman" w:hAnsiTheme="minorHAnsi" w:cstheme="minorHAnsi"/>
          <w:sz w:val="24"/>
          <w:szCs w:val="24"/>
        </w:rPr>
        <w:t xml:space="preserve">(Sutarties projekto 14.2.8 punktas) tik dėl to, jei Rangovas </w:t>
      </w:r>
      <w:r>
        <w:rPr>
          <w:rFonts w:asciiTheme="minorHAnsi" w:eastAsia="Times New Roman" w:hAnsiTheme="minorHAnsi" w:cstheme="minorHAnsi"/>
          <w:sz w:val="24"/>
          <w:szCs w:val="24"/>
        </w:rPr>
        <w:t>„</w:t>
      </w:r>
      <w:r w:rsidRPr="009D6EB1">
        <w:rPr>
          <w:rFonts w:asciiTheme="minorHAnsi" w:eastAsia="Times New Roman" w:hAnsiTheme="minorHAnsi" w:cstheme="minorHAnsi"/>
          <w:sz w:val="24"/>
          <w:szCs w:val="24"/>
        </w:rPr>
        <w:t>netaiko</w:t>
      </w:r>
      <w:r w:rsidRPr="009D6EB1">
        <w:rPr>
          <w:rFonts w:asciiTheme="minorHAnsi" w:hAnsiTheme="minorHAnsi" w:cstheme="minorHAnsi"/>
          <w:sz w:val="24"/>
          <w:szCs w:val="24"/>
        </w:rPr>
        <w:t xml:space="preserve"> arba nebeteko, arba nepratęsė aplinkos apsaugos vadybos sistemos </w:t>
      </w:r>
      <w:r w:rsidRPr="00CF6D24">
        <w:rPr>
          <w:rFonts w:asciiTheme="minorHAnsi" w:hAnsiTheme="minorHAnsi" w:cstheme="minorHAnsi"/>
          <w:b/>
          <w:bCs/>
          <w:sz w:val="24"/>
          <w:szCs w:val="24"/>
        </w:rPr>
        <w:t>standarto</w:t>
      </w:r>
      <w:r w:rsidRPr="009D6EB1">
        <w:rPr>
          <w:rFonts w:asciiTheme="minorHAnsi" w:hAnsiTheme="minorHAnsi" w:cstheme="minorHAnsi"/>
          <w:sz w:val="24"/>
          <w:szCs w:val="24"/>
        </w:rPr>
        <w:t xml:space="preserve">, nurodyto Rangovo pasiūlyme“. Atkreiptinas dėmesys, kad </w:t>
      </w:r>
      <w:r w:rsidRPr="00CF6D24">
        <w:rPr>
          <w:rFonts w:asciiTheme="minorHAnsi" w:hAnsiTheme="minorHAnsi" w:cstheme="minorHAnsi"/>
          <w:b/>
          <w:bCs/>
          <w:sz w:val="24"/>
          <w:szCs w:val="24"/>
        </w:rPr>
        <w:t>ne standartas</w:t>
      </w:r>
      <w:r w:rsidRPr="009D6EB1">
        <w:rPr>
          <w:rFonts w:asciiTheme="minorHAnsi" w:hAnsiTheme="minorHAnsi" w:cstheme="minorHAnsi"/>
          <w:sz w:val="24"/>
          <w:szCs w:val="24"/>
        </w:rPr>
        <w:t xml:space="preserve"> yra gaunamas, pratęsiamas ir t.t., o </w:t>
      </w:r>
      <w:r w:rsidRPr="00CF6D24">
        <w:rPr>
          <w:rFonts w:asciiTheme="minorHAnsi" w:hAnsiTheme="minorHAnsi" w:cstheme="minorHAnsi"/>
          <w:b/>
          <w:bCs/>
          <w:sz w:val="24"/>
          <w:szCs w:val="24"/>
        </w:rPr>
        <w:t>sertifikatas</w:t>
      </w:r>
      <w:r w:rsidRPr="009D6EB1">
        <w:rPr>
          <w:rFonts w:asciiTheme="minorHAnsi" w:hAnsiTheme="minorHAnsi" w:cstheme="minorHAnsi"/>
          <w:sz w:val="24"/>
          <w:szCs w:val="24"/>
        </w:rPr>
        <w:t>, patvirtinantis, kad sertifikato turėtojas taiko aplinkos apsaugos vadybos sistemos reikalavimus pagal atitinkamus standartus.</w:t>
      </w:r>
    </w:p>
    <w:p w14:paraId="748A172B" w14:textId="77777777" w:rsidR="00615526" w:rsidRDefault="00615526" w:rsidP="00615526">
      <w:pPr>
        <w:pStyle w:val="Bodytext2"/>
        <w:tabs>
          <w:tab w:val="left" w:pos="709"/>
          <w:tab w:val="left" w:pos="1560"/>
        </w:tabs>
        <w:spacing w:before="0" w:line="276" w:lineRule="auto"/>
        <w:ind w:firstLine="0"/>
        <w:jc w:val="left"/>
        <w:rPr>
          <w:rFonts w:asciiTheme="minorHAnsi" w:hAnsiTheme="minorHAnsi" w:cstheme="minorHAnsi"/>
          <w:sz w:val="24"/>
          <w:szCs w:val="24"/>
        </w:rPr>
      </w:pPr>
      <w:r>
        <w:rPr>
          <w:rFonts w:asciiTheme="minorHAnsi" w:hAnsiTheme="minorHAnsi" w:cstheme="minorHAnsi"/>
          <w:sz w:val="24"/>
          <w:szCs w:val="24"/>
        </w:rPr>
        <w:t>Pažymėtina</w:t>
      </w:r>
      <w:r w:rsidRPr="00CF6D24">
        <w:rPr>
          <w:rFonts w:asciiTheme="minorHAnsi" w:hAnsiTheme="minorHAnsi" w:cstheme="minorHAnsi"/>
          <w:sz w:val="24"/>
          <w:szCs w:val="24"/>
        </w:rPr>
        <w:t xml:space="preserve">, kad </w:t>
      </w:r>
      <w:r w:rsidRPr="009D6EB1">
        <w:rPr>
          <w:rFonts w:asciiTheme="minorHAnsi" w:eastAsia="Times New Roman" w:hAnsiTheme="minorHAnsi" w:cstheme="minorHAnsi"/>
          <w:sz w:val="24"/>
          <w:szCs w:val="24"/>
        </w:rPr>
        <w:t>Sutarties projekto 14.2.8 punkt</w:t>
      </w:r>
      <w:r>
        <w:rPr>
          <w:rFonts w:asciiTheme="minorHAnsi" w:eastAsia="Times New Roman" w:hAnsiTheme="minorHAnsi" w:cstheme="minorHAnsi"/>
          <w:sz w:val="24"/>
          <w:szCs w:val="24"/>
        </w:rPr>
        <w:t>e</w:t>
      </w:r>
      <w:r w:rsidRPr="00F76AA4">
        <w:rPr>
          <w:rFonts w:asciiTheme="minorHAnsi" w:hAnsiTheme="minorHAnsi" w:cstheme="minorHAnsi"/>
          <w:sz w:val="24"/>
          <w:szCs w:val="24"/>
        </w:rPr>
        <w:t xml:space="preserve"> </w:t>
      </w:r>
      <w:r w:rsidRPr="00CF6D24">
        <w:rPr>
          <w:rFonts w:asciiTheme="minorHAnsi" w:hAnsiTheme="minorHAnsi" w:cstheme="minorHAnsi"/>
          <w:sz w:val="24"/>
          <w:szCs w:val="24"/>
        </w:rPr>
        <w:t xml:space="preserve">neatsižvelgta į </w:t>
      </w:r>
      <w:r w:rsidRPr="00F76AA4">
        <w:rPr>
          <w:rFonts w:asciiTheme="minorHAnsi" w:hAnsiTheme="minorHAnsi" w:cstheme="minorHAnsi"/>
          <w:sz w:val="24"/>
          <w:szCs w:val="24"/>
        </w:rPr>
        <w:t>Aplinkos apsaugos reikalavim</w:t>
      </w:r>
      <w:r>
        <w:rPr>
          <w:rFonts w:asciiTheme="minorHAnsi" w:hAnsiTheme="minorHAnsi" w:cstheme="minorHAnsi"/>
          <w:sz w:val="24"/>
          <w:szCs w:val="24"/>
        </w:rPr>
        <w:t>ų</w:t>
      </w:r>
      <w:r w:rsidRPr="00F76AA4">
        <w:rPr>
          <w:rFonts w:asciiTheme="minorHAnsi" w:hAnsiTheme="minorHAnsi" w:cstheme="minorHAnsi"/>
          <w:sz w:val="24"/>
          <w:szCs w:val="24"/>
        </w:rPr>
        <w:t xml:space="preserve"> 1.1 punkt</w:t>
      </w:r>
      <w:r>
        <w:rPr>
          <w:rFonts w:asciiTheme="minorHAnsi" w:hAnsiTheme="minorHAnsi" w:cstheme="minorHAnsi"/>
          <w:sz w:val="24"/>
          <w:szCs w:val="24"/>
        </w:rPr>
        <w:t>e</w:t>
      </w:r>
      <w:r w:rsidRPr="002246BE">
        <w:rPr>
          <w:rFonts w:asciiTheme="minorHAnsi" w:hAnsiTheme="minorHAnsi" w:cstheme="minorHAnsi"/>
          <w:sz w:val="24"/>
          <w:szCs w:val="24"/>
        </w:rPr>
        <w:t xml:space="preserve"> nurodytą galimybę tiekėjui vietoj sertifikato pateikti kitus lygiaverčių aplinkos </w:t>
      </w:r>
      <w:r w:rsidRPr="002246BE">
        <w:rPr>
          <w:rFonts w:asciiTheme="minorHAnsi" w:hAnsiTheme="minorHAnsi" w:cstheme="minorHAnsi"/>
          <w:sz w:val="24"/>
          <w:szCs w:val="24"/>
        </w:rPr>
        <w:lastRenderedPageBreak/>
        <w:t>apsaugos vadybos užtikrinimo priemonių įrodymus</w:t>
      </w:r>
      <w:r>
        <w:rPr>
          <w:rFonts w:asciiTheme="minorHAnsi" w:hAnsiTheme="minorHAnsi" w:cstheme="minorHAnsi"/>
          <w:sz w:val="24"/>
          <w:szCs w:val="24"/>
        </w:rPr>
        <w:t xml:space="preserve">, kurie </w:t>
      </w:r>
      <w:r>
        <w:rPr>
          <w:rFonts w:asciiTheme="minorHAnsi" w:hAnsiTheme="minorHAnsi" w:cstheme="minorHAnsi"/>
          <w:sz w:val="24"/>
          <w:szCs w:val="24"/>
          <w:lang w:val="lt"/>
        </w:rPr>
        <w:t>nustatyti</w:t>
      </w:r>
      <w:r w:rsidRPr="00F76AA4">
        <w:rPr>
          <w:rFonts w:asciiTheme="minorHAnsi" w:hAnsiTheme="minorHAnsi" w:cstheme="minorHAnsi"/>
          <w:sz w:val="24"/>
          <w:szCs w:val="24"/>
          <w:lang w:val="lt"/>
        </w:rPr>
        <w:t xml:space="preserve"> </w:t>
      </w:r>
      <w:r>
        <w:rPr>
          <w:rFonts w:asciiTheme="minorHAnsi" w:hAnsiTheme="minorHAnsi" w:cstheme="minorHAnsi"/>
          <w:sz w:val="24"/>
          <w:szCs w:val="24"/>
        </w:rPr>
        <w:t xml:space="preserve">Tvarkos aprašo 10 punkte. </w:t>
      </w:r>
      <w:r w:rsidRPr="002246BE">
        <w:rPr>
          <w:rFonts w:asciiTheme="minorHAnsi" w:hAnsiTheme="minorHAnsi" w:cstheme="minorHAnsi"/>
          <w:sz w:val="24"/>
          <w:szCs w:val="24"/>
        </w:rPr>
        <w:t xml:space="preserve">Tarnyba rekomenduoja papildyti </w:t>
      </w:r>
      <w:r>
        <w:rPr>
          <w:rFonts w:asciiTheme="minorHAnsi" w:hAnsiTheme="minorHAnsi" w:cstheme="minorHAnsi"/>
          <w:sz w:val="24"/>
          <w:szCs w:val="24"/>
        </w:rPr>
        <w:t>Sutarties projektą</w:t>
      </w:r>
      <w:r w:rsidRPr="002246BE">
        <w:rPr>
          <w:rFonts w:asciiTheme="minorHAnsi" w:hAnsiTheme="minorHAnsi" w:cstheme="minorHAnsi"/>
          <w:sz w:val="24"/>
          <w:szCs w:val="24"/>
        </w:rPr>
        <w:t xml:space="preserve"> kitų lygiaverčių aplinkos apsaugos vadybos užtikrinimo priemonių (jei tiekėjas tokias pateiktų) įrodymų tikrinimo sąlygomis.</w:t>
      </w:r>
    </w:p>
    <w:p w14:paraId="70A7C840" w14:textId="77777777" w:rsidR="00615526" w:rsidRPr="002246BE" w:rsidRDefault="00615526" w:rsidP="00615526">
      <w:pPr>
        <w:pStyle w:val="Bodytext2"/>
        <w:tabs>
          <w:tab w:val="left" w:pos="709"/>
          <w:tab w:val="left" w:pos="1560"/>
        </w:tabs>
        <w:spacing w:before="0" w:line="276" w:lineRule="auto"/>
        <w:ind w:firstLine="0"/>
        <w:jc w:val="left"/>
        <w:rPr>
          <w:rFonts w:asciiTheme="minorHAnsi" w:hAnsiTheme="minorHAnsi" w:cstheme="minorHAnsi"/>
          <w:sz w:val="24"/>
          <w:szCs w:val="24"/>
          <w:lang w:val="lt"/>
        </w:rPr>
      </w:pPr>
      <w:r>
        <w:rPr>
          <w:rFonts w:asciiTheme="minorHAnsi" w:hAnsiTheme="minorHAnsi" w:cstheme="minorHAnsi"/>
          <w:sz w:val="24"/>
          <w:szCs w:val="24"/>
        </w:rPr>
        <w:t xml:space="preserve">Atsižvelgiant į aukščiau išdėstytą, Tarnyba rekomenduoja pakartotinai peržiūrėti Pirkimo dokumentuose nustatytus aplinkosauginių kriterijų reikalavimus ir atitinkamai patikslinti Sutarties projekto nuostatas, aiškiai nurodant </w:t>
      </w:r>
      <w:r w:rsidRPr="002246BE">
        <w:rPr>
          <w:rFonts w:asciiTheme="minorHAnsi" w:hAnsiTheme="minorHAnsi" w:cstheme="minorHAnsi"/>
          <w:b/>
          <w:bCs/>
          <w:sz w:val="24"/>
          <w:szCs w:val="24"/>
        </w:rPr>
        <w:t>visų</w:t>
      </w:r>
      <w:r>
        <w:rPr>
          <w:rFonts w:asciiTheme="minorHAnsi" w:hAnsiTheme="minorHAnsi" w:cstheme="minorHAnsi"/>
          <w:sz w:val="24"/>
          <w:szCs w:val="24"/>
        </w:rPr>
        <w:t xml:space="preserve"> aplinkosauginių įsipareigojimų tikrinimo, priežiūros ir sankcijų mechanizmus.</w:t>
      </w:r>
    </w:p>
    <w:p w14:paraId="6FBA345C" w14:textId="77777777" w:rsidR="00615526" w:rsidRPr="009D6EB1" w:rsidRDefault="00615526" w:rsidP="00615526">
      <w:pPr>
        <w:pStyle w:val="Sraopastraipa"/>
        <w:numPr>
          <w:ilvl w:val="0"/>
          <w:numId w:val="1"/>
        </w:numPr>
        <w:tabs>
          <w:tab w:val="left" w:pos="426"/>
        </w:tabs>
        <w:spacing w:after="0" w:line="276" w:lineRule="auto"/>
        <w:ind w:left="0" w:firstLine="0"/>
        <w:rPr>
          <w:rFonts w:cstheme="minorHAnsi"/>
          <w:b/>
          <w:bCs/>
          <w:sz w:val="24"/>
          <w:szCs w:val="24"/>
        </w:rPr>
      </w:pPr>
      <w:r w:rsidRPr="009D6EB1">
        <w:rPr>
          <w:rFonts w:cstheme="minorHAnsi"/>
          <w:b/>
          <w:bCs/>
          <w:sz w:val="24"/>
          <w:szCs w:val="24"/>
        </w:rPr>
        <w:t>Dėl Sutarties projekto nuostatų</w:t>
      </w:r>
    </w:p>
    <w:p w14:paraId="5577AA07" w14:textId="77777777" w:rsidR="00615526" w:rsidRPr="009D6EB1" w:rsidRDefault="00615526" w:rsidP="00615526">
      <w:pPr>
        <w:pStyle w:val="Sraopastraipa"/>
        <w:numPr>
          <w:ilvl w:val="1"/>
          <w:numId w:val="1"/>
        </w:numPr>
        <w:tabs>
          <w:tab w:val="left" w:pos="0"/>
          <w:tab w:val="left" w:pos="567"/>
        </w:tabs>
        <w:spacing w:after="0" w:line="276" w:lineRule="auto"/>
        <w:ind w:left="0" w:firstLine="0"/>
        <w:rPr>
          <w:rFonts w:eastAsia="Segoe UI" w:cstheme="minorHAnsi"/>
          <w:b/>
          <w:sz w:val="24"/>
          <w:szCs w:val="24"/>
          <w:lang w:eastAsia="lt-LT"/>
        </w:rPr>
      </w:pPr>
      <w:r w:rsidRPr="009D6EB1">
        <w:rPr>
          <w:rFonts w:cstheme="minorHAnsi"/>
          <w:sz w:val="24"/>
          <w:szCs w:val="24"/>
        </w:rPr>
        <w:t xml:space="preserve">Sutarties projekto 12.2.1 punkte nustatyta, kad „&lt;...&gt; Jei Perkančioji organizacija pasinaudoja Sutarties įvykdymo užtikrinimu užstatu, dalyvis, &lt;...&gt;, </w:t>
      </w:r>
      <w:r w:rsidRPr="009D6EB1">
        <w:rPr>
          <w:rFonts w:cstheme="minorHAnsi"/>
          <w:b/>
          <w:bCs/>
          <w:sz w:val="24"/>
          <w:szCs w:val="24"/>
        </w:rPr>
        <w:t>privalo per 10 (dešimt) darbo dienų</w:t>
      </w:r>
      <w:r w:rsidRPr="009D6EB1">
        <w:rPr>
          <w:rFonts w:cstheme="minorHAnsi"/>
          <w:sz w:val="24"/>
          <w:szCs w:val="24"/>
        </w:rPr>
        <w:t xml:space="preserve"> nuo pranešimo apie pasinaudojimą užstatu išsiuntimo dienos pervesti į Panevėžio rajono savivaldybės administracijos &lt;...&gt; sąskaitą &lt;...&gt;, 12.1 </w:t>
      </w:r>
      <w:r w:rsidRPr="009D6EB1">
        <w:rPr>
          <w:rFonts w:cstheme="minorHAnsi"/>
          <w:sz w:val="24"/>
          <w:szCs w:val="24"/>
          <w:lang w:eastAsia="lt-LT"/>
        </w:rPr>
        <w:t xml:space="preserve">p. </w:t>
      </w:r>
      <w:r w:rsidRPr="009D6EB1">
        <w:rPr>
          <w:rFonts w:cstheme="minorHAnsi"/>
          <w:sz w:val="24"/>
          <w:szCs w:val="24"/>
        </w:rPr>
        <w:t xml:space="preserve">nurodytą užstatą“. Analogiška nuostata nustatyta banko garantijai (Sutarties projekto 12.2.2 punktas), t. y. „Jei Perkančioji organizacija pasinaudoja Sutarties įvykdymo užtikrinimu banko garantija, dalyvis, siekdamas toliau vykdyti Sutarties įsipareigojimus, </w:t>
      </w:r>
      <w:r w:rsidRPr="009D6EB1">
        <w:rPr>
          <w:rFonts w:cstheme="minorHAnsi"/>
          <w:b/>
          <w:bCs/>
          <w:sz w:val="24"/>
          <w:szCs w:val="24"/>
        </w:rPr>
        <w:t xml:space="preserve">privalo per 10 (dešimt) darbo dienų </w:t>
      </w:r>
      <w:r w:rsidRPr="009D6EB1">
        <w:rPr>
          <w:rFonts w:cstheme="minorHAnsi"/>
          <w:sz w:val="24"/>
          <w:szCs w:val="24"/>
        </w:rPr>
        <w:t xml:space="preserve">nuo pranešimo apie pasinaudojimą banko garantija išsiuntimo dienos pateikti Perkančiajai organizacijai naują Sutarties įvykdymo garantiją šiame </w:t>
      </w:r>
      <w:r w:rsidRPr="009D6EB1">
        <w:rPr>
          <w:rFonts w:cstheme="minorHAnsi"/>
          <w:sz w:val="24"/>
          <w:szCs w:val="24"/>
          <w:lang w:eastAsia="lt-LT"/>
        </w:rPr>
        <w:t xml:space="preserve">papunktyje </w:t>
      </w:r>
      <w:r w:rsidRPr="009D6EB1">
        <w:rPr>
          <w:rFonts w:cstheme="minorHAnsi"/>
          <w:sz w:val="24"/>
          <w:szCs w:val="24"/>
        </w:rPr>
        <w:t xml:space="preserve">nurodytai sumai“. </w:t>
      </w:r>
    </w:p>
    <w:p w14:paraId="6AC2AB14" w14:textId="77777777" w:rsidR="00615526" w:rsidRPr="009D6EB1" w:rsidRDefault="00615526" w:rsidP="00615526">
      <w:pPr>
        <w:tabs>
          <w:tab w:val="left" w:pos="0"/>
          <w:tab w:val="left" w:pos="1134"/>
        </w:tabs>
        <w:spacing w:after="0" w:line="276" w:lineRule="auto"/>
        <w:rPr>
          <w:rFonts w:cstheme="minorHAnsi"/>
          <w:sz w:val="24"/>
          <w:szCs w:val="24"/>
        </w:rPr>
      </w:pPr>
      <w:r w:rsidRPr="009D6EB1">
        <w:rPr>
          <w:rFonts w:cstheme="minorHAnsi"/>
          <w:sz w:val="24"/>
          <w:szCs w:val="24"/>
        </w:rPr>
        <w:t>Tačiau Sutarties projekto 16.4</w:t>
      </w:r>
      <w:r w:rsidRPr="009D6EB1">
        <w:rPr>
          <w:rStyle w:val="Puslapioinaosnuoroda"/>
          <w:rFonts w:cstheme="minorHAnsi"/>
          <w:sz w:val="24"/>
          <w:szCs w:val="24"/>
        </w:rPr>
        <w:footnoteReference w:id="3"/>
      </w:r>
      <w:r w:rsidRPr="009D6EB1">
        <w:rPr>
          <w:rFonts w:cstheme="minorHAnsi"/>
          <w:sz w:val="24"/>
          <w:szCs w:val="24"/>
        </w:rPr>
        <w:t xml:space="preserve"> punkt</w:t>
      </w:r>
      <w:r>
        <w:rPr>
          <w:rFonts w:cstheme="minorHAnsi"/>
          <w:sz w:val="24"/>
          <w:szCs w:val="24"/>
        </w:rPr>
        <w:t>e</w:t>
      </w:r>
      <w:r w:rsidRPr="009D6EB1">
        <w:rPr>
          <w:rFonts w:cstheme="minorHAnsi"/>
          <w:sz w:val="24"/>
          <w:szCs w:val="24"/>
        </w:rPr>
        <w:t xml:space="preserve">, nustatyta, kad Sutarties įvykdymo užtikrinimui yra nustatytas kitas pateikimo terminas, t. y. nurodyta, kad „jei Užsakovas pasinaudoja Sutarties įvykdymo užtikrinimu, Rangovas, &lt;...&gt;, privalo </w:t>
      </w:r>
      <w:r w:rsidRPr="009D6EB1">
        <w:rPr>
          <w:rFonts w:cstheme="minorHAnsi"/>
          <w:b/>
          <w:bCs/>
          <w:sz w:val="24"/>
          <w:szCs w:val="24"/>
        </w:rPr>
        <w:t>per 7 (septynias) darbo diena</w:t>
      </w:r>
      <w:r w:rsidRPr="009D6EB1">
        <w:rPr>
          <w:rFonts w:cstheme="minorHAnsi"/>
          <w:sz w:val="24"/>
          <w:szCs w:val="24"/>
        </w:rPr>
        <w:t>s pateikti Užsakovui naują Sutarties įvykdymo užtikrinimą Pirkimo dokumentuose nustatytomis sąlygomis“.</w:t>
      </w:r>
    </w:p>
    <w:p w14:paraId="492A049E" w14:textId="77777777" w:rsidR="00615526" w:rsidRPr="009D6EB1" w:rsidRDefault="00615526" w:rsidP="00615526">
      <w:pPr>
        <w:spacing w:after="0" w:line="276" w:lineRule="auto"/>
        <w:rPr>
          <w:rFonts w:cstheme="minorHAnsi"/>
          <w:bCs/>
          <w:kern w:val="2"/>
          <w:sz w:val="24"/>
          <w:szCs w:val="24"/>
          <w14:ligatures w14:val="standardContextual"/>
        </w:rPr>
      </w:pPr>
      <w:r w:rsidRPr="009D6EB1">
        <w:rPr>
          <w:rFonts w:cstheme="minorHAnsi"/>
          <w:bCs/>
          <w:kern w:val="2"/>
          <w:sz w:val="24"/>
          <w:szCs w:val="24"/>
          <w14:ligatures w14:val="standardContextual"/>
        </w:rPr>
        <w:t>Atsižvelgiant į tai, kad Pirkimo dokumentai turi būti tikslūs, aiškūs ir be dviprasmybių</w:t>
      </w:r>
      <w:r w:rsidRPr="009D6EB1">
        <w:rPr>
          <w:rFonts w:cstheme="minorHAnsi"/>
          <w:bCs/>
          <w:kern w:val="2"/>
          <w:sz w:val="24"/>
          <w:szCs w:val="24"/>
          <w:vertAlign w:val="superscript"/>
          <w14:ligatures w14:val="standardContextual"/>
        </w:rPr>
        <w:footnoteReference w:id="4"/>
      </w:r>
      <w:r w:rsidRPr="009D6EB1">
        <w:rPr>
          <w:rFonts w:cstheme="minorHAnsi"/>
          <w:bCs/>
          <w:kern w:val="2"/>
          <w:sz w:val="24"/>
          <w:szCs w:val="24"/>
          <w14:ligatures w14:val="standardContextual"/>
        </w:rPr>
        <w:t xml:space="preserve"> , Tarnyba rekomenduoja patikslinti Sutarties projekto nuostatas, nurodant vienodus Sutarties įvykdymo užtikrinimo pateikimo terminus.</w:t>
      </w:r>
    </w:p>
    <w:p w14:paraId="6BFFFFE1" w14:textId="77777777" w:rsidR="00615526" w:rsidRPr="003817E5" w:rsidRDefault="00615526" w:rsidP="00615526">
      <w:pPr>
        <w:pStyle w:val="HTMLiankstoformatuotas"/>
        <w:numPr>
          <w:ilvl w:val="1"/>
          <w:numId w:val="1"/>
        </w:numPr>
        <w:tabs>
          <w:tab w:val="clear" w:pos="916"/>
          <w:tab w:val="clear" w:pos="1832"/>
          <w:tab w:val="left" w:pos="567"/>
          <w:tab w:val="left" w:pos="1276"/>
        </w:tabs>
        <w:spacing w:line="276" w:lineRule="auto"/>
        <w:ind w:left="0" w:firstLine="0"/>
        <w:rPr>
          <w:rFonts w:asciiTheme="minorHAnsi" w:eastAsiaTheme="minorEastAsia" w:hAnsiTheme="minorHAnsi" w:cstheme="minorHAnsi"/>
          <w:sz w:val="24"/>
          <w:szCs w:val="24"/>
          <w:shd w:val="clear" w:color="auto" w:fill="FFFFFF"/>
        </w:rPr>
      </w:pPr>
      <w:r w:rsidRPr="009D6EB1">
        <w:rPr>
          <w:rFonts w:asciiTheme="minorHAnsi" w:hAnsiTheme="minorHAnsi" w:cstheme="minorHAnsi"/>
          <w:sz w:val="24"/>
          <w:szCs w:val="24"/>
        </w:rPr>
        <w:t>Techninės specifikacijos (Pirkimo sąlygų 2 priedas) 2 punkte nustatyta, kad „</w:t>
      </w:r>
      <w:r w:rsidRPr="009D6EB1">
        <w:rPr>
          <w:rFonts w:asciiTheme="minorHAnsi" w:eastAsiaTheme="minorEastAsia" w:hAnsiTheme="minorHAnsi" w:cstheme="minorHAnsi"/>
          <w:sz w:val="24"/>
          <w:szCs w:val="24"/>
          <w:shd w:val="clear" w:color="auto" w:fill="FFFFFF"/>
        </w:rPr>
        <w:t xml:space="preserve">Kelio ilgis apie 2 420 m, plotis – 6,0 m. Planuojama nufrezuoti apie 1 500 m² asfalto dangos, nukasti apie 730 m³ kelkraščio (sutvarkyti asfalto dangos sujungimą su kelkraščiu), užtaisyti apie 35 m² ploto </w:t>
      </w:r>
      <w:proofErr w:type="spellStart"/>
      <w:r w:rsidRPr="009D6EB1">
        <w:rPr>
          <w:rFonts w:asciiTheme="minorHAnsi" w:eastAsiaTheme="minorEastAsia" w:hAnsiTheme="minorHAnsi" w:cstheme="minorHAnsi"/>
          <w:sz w:val="24"/>
          <w:szCs w:val="24"/>
          <w:shd w:val="clear" w:color="auto" w:fill="FFFFFF"/>
        </w:rPr>
        <w:t>išdaužų</w:t>
      </w:r>
      <w:proofErr w:type="spellEnd"/>
      <w:r w:rsidRPr="009D6EB1">
        <w:rPr>
          <w:rFonts w:asciiTheme="minorHAnsi" w:eastAsiaTheme="minorEastAsia" w:hAnsiTheme="minorHAnsi" w:cstheme="minorHAnsi"/>
          <w:sz w:val="24"/>
          <w:szCs w:val="24"/>
          <w:shd w:val="clear" w:color="auto" w:fill="FFFFFF"/>
        </w:rPr>
        <w:t>, įrengti apie 1 940 t išlyginamojo asfalto dangos sluoksnį, ištaisyti apie 150 m³</w:t>
      </w:r>
      <w:r w:rsidRPr="003817E5">
        <w:rPr>
          <w:rFonts w:asciiTheme="minorHAnsi" w:eastAsiaTheme="minorEastAsia" w:hAnsiTheme="minorHAnsi" w:cstheme="minorHAnsi"/>
          <w:sz w:val="24"/>
          <w:szCs w:val="24"/>
          <w:shd w:val="clear" w:color="auto" w:fill="FFFFFF"/>
        </w:rPr>
        <w:t xml:space="preserve"> kelkraščio įdubų, ruožų su iškilomis, pridedant žvyro mišinio</w:t>
      </w:r>
      <w:r>
        <w:rPr>
          <w:rFonts w:asciiTheme="minorHAnsi" w:eastAsiaTheme="minorEastAsia" w:hAnsiTheme="minorHAnsi" w:cstheme="minorHAnsi"/>
          <w:sz w:val="24"/>
          <w:szCs w:val="24"/>
          <w:shd w:val="clear" w:color="auto" w:fill="FFFFFF"/>
        </w:rPr>
        <w:t>“</w:t>
      </w:r>
      <w:r w:rsidRPr="003817E5">
        <w:rPr>
          <w:rFonts w:asciiTheme="minorHAnsi" w:eastAsiaTheme="minorEastAsia" w:hAnsiTheme="minorHAnsi" w:cstheme="minorHAnsi"/>
          <w:sz w:val="24"/>
          <w:szCs w:val="24"/>
          <w:shd w:val="clear" w:color="auto" w:fill="FFFFFF"/>
        </w:rPr>
        <w:t>.</w:t>
      </w:r>
      <w:r>
        <w:rPr>
          <w:rFonts w:asciiTheme="minorHAnsi" w:eastAsiaTheme="minorEastAsia" w:hAnsiTheme="minorHAnsi" w:cstheme="minorHAnsi"/>
          <w:sz w:val="24"/>
          <w:szCs w:val="24"/>
          <w:shd w:val="clear" w:color="auto" w:fill="FFFFFF"/>
        </w:rPr>
        <w:t xml:space="preserve"> Įvertinus Pirkimo objekto aprašymą, Tarnybai kyla abejonių ar tikrai  tiekėjai gali tinkamai įvertinti Pirkimo objektą bei  parengti </w:t>
      </w:r>
      <w:r>
        <w:rPr>
          <w:rFonts w:asciiTheme="minorHAnsi" w:eastAsiaTheme="minorEastAsia" w:hAnsiTheme="minorHAnsi" w:cstheme="minorHAnsi"/>
          <w:sz w:val="24"/>
          <w:szCs w:val="24"/>
          <w:shd w:val="clear" w:color="auto" w:fill="FFFFFF"/>
        </w:rPr>
        <w:lastRenderedPageBreak/>
        <w:t>tinkamą pasiūlymą, ypač atsižvelgiant į Sutarties projekto 3.3.7</w:t>
      </w:r>
      <w:r>
        <w:rPr>
          <w:rStyle w:val="Puslapioinaosnuoroda"/>
          <w:rFonts w:asciiTheme="minorHAnsi" w:eastAsiaTheme="minorEastAsia" w:hAnsiTheme="minorHAnsi" w:cstheme="minorHAnsi"/>
          <w:sz w:val="24"/>
          <w:szCs w:val="24"/>
          <w:shd w:val="clear" w:color="auto" w:fill="FFFFFF"/>
        </w:rPr>
        <w:footnoteReference w:id="5"/>
      </w:r>
      <w:r>
        <w:rPr>
          <w:rFonts w:asciiTheme="minorHAnsi" w:eastAsiaTheme="minorEastAsia" w:hAnsiTheme="minorHAnsi" w:cstheme="minorHAnsi"/>
          <w:sz w:val="24"/>
          <w:szCs w:val="24"/>
          <w:shd w:val="clear" w:color="auto" w:fill="FFFFFF"/>
        </w:rPr>
        <w:t xml:space="preserve"> ir 3.3.8</w:t>
      </w:r>
      <w:r>
        <w:rPr>
          <w:rStyle w:val="Puslapioinaosnuoroda"/>
          <w:rFonts w:asciiTheme="minorHAnsi" w:eastAsiaTheme="minorEastAsia" w:hAnsiTheme="minorHAnsi" w:cstheme="minorHAnsi"/>
          <w:sz w:val="24"/>
          <w:szCs w:val="24"/>
          <w:shd w:val="clear" w:color="auto" w:fill="FFFFFF"/>
        </w:rPr>
        <w:footnoteReference w:id="6"/>
      </w:r>
      <w:r>
        <w:rPr>
          <w:rFonts w:asciiTheme="minorHAnsi" w:eastAsiaTheme="minorEastAsia" w:hAnsiTheme="minorHAnsi" w:cstheme="minorHAnsi"/>
          <w:sz w:val="24"/>
          <w:szCs w:val="24"/>
          <w:shd w:val="clear" w:color="auto" w:fill="FFFFFF"/>
        </w:rPr>
        <w:t xml:space="preserve"> punktų nuostatas, kur nurodyta, kad tiekėjas turi „gerai išanalizuoti ir suprasti Darbų pobūdį bei apimtį pagal Techninę specifikaciją“, taip pat „patikrinti Techninėje specifikacijoje nurodytus medžiagų ir Darbų kiekius bei apimtis“, o pasirašius Sutartį, pateikti lokalines sąmatas (Sutarties projekto 3.3.6</w:t>
      </w:r>
      <w:r>
        <w:rPr>
          <w:rStyle w:val="Puslapioinaosnuoroda"/>
          <w:rFonts w:asciiTheme="minorHAnsi" w:eastAsiaTheme="minorEastAsia" w:hAnsiTheme="minorHAnsi" w:cstheme="minorHAnsi"/>
          <w:sz w:val="24"/>
          <w:szCs w:val="24"/>
          <w:shd w:val="clear" w:color="auto" w:fill="FFFFFF"/>
        </w:rPr>
        <w:footnoteReference w:id="7"/>
      </w:r>
      <w:r>
        <w:rPr>
          <w:rFonts w:asciiTheme="minorHAnsi" w:eastAsiaTheme="minorEastAsia" w:hAnsiTheme="minorHAnsi" w:cstheme="minorHAnsi"/>
          <w:sz w:val="24"/>
          <w:szCs w:val="24"/>
          <w:shd w:val="clear" w:color="auto" w:fill="FFFFFF"/>
        </w:rPr>
        <w:t xml:space="preserve"> punktas)? Ar šiuo atveju </w:t>
      </w:r>
      <w:r w:rsidRPr="00A809B7">
        <w:rPr>
          <w:rFonts w:asciiTheme="minorHAnsi" w:eastAsiaTheme="minorEastAsia" w:hAnsiTheme="minorHAnsi" w:cstheme="minorHAnsi"/>
          <w:sz w:val="24"/>
          <w:szCs w:val="24"/>
          <w:shd w:val="clear" w:color="auto" w:fill="FFFFFF"/>
        </w:rPr>
        <w:t>Pirkimo sąlygų 2 pried</w:t>
      </w:r>
      <w:r>
        <w:rPr>
          <w:rFonts w:asciiTheme="minorHAnsi" w:eastAsiaTheme="minorEastAsia" w:hAnsiTheme="minorHAnsi" w:cstheme="minorHAnsi"/>
          <w:sz w:val="24"/>
          <w:szCs w:val="24"/>
          <w:shd w:val="clear" w:color="auto" w:fill="FFFFFF"/>
        </w:rPr>
        <w:t>e</w:t>
      </w:r>
      <w:r w:rsidRPr="00A809B7">
        <w:rPr>
          <w:rFonts w:asciiTheme="minorHAnsi" w:eastAsiaTheme="minorEastAsia" w:hAnsiTheme="minorHAnsi" w:cstheme="minorHAnsi"/>
          <w:sz w:val="24"/>
          <w:szCs w:val="24"/>
          <w:shd w:val="clear" w:color="auto" w:fill="FFFFFF"/>
        </w:rPr>
        <w:t xml:space="preserve"> </w:t>
      </w:r>
      <w:r>
        <w:rPr>
          <w:rFonts w:asciiTheme="minorHAnsi" w:eastAsiaTheme="minorEastAsia" w:hAnsiTheme="minorHAnsi" w:cstheme="minorHAnsi"/>
          <w:sz w:val="24"/>
          <w:szCs w:val="24"/>
          <w:shd w:val="clear" w:color="auto" w:fill="FFFFFF"/>
        </w:rPr>
        <w:t>pateikta Techninė specifikacija ir bus laikoma Sutarties projekte nurodytu Sutarties 1 priedu „Techninė specifikacija“?</w:t>
      </w:r>
    </w:p>
    <w:p w14:paraId="57085CD0" w14:textId="77777777" w:rsidR="00615526" w:rsidRDefault="00615526" w:rsidP="00615526">
      <w:pPr>
        <w:pStyle w:val="Sraopastraipa"/>
        <w:numPr>
          <w:ilvl w:val="1"/>
          <w:numId w:val="1"/>
        </w:numPr>
        <w:tabs>
          <w:tab w:val="left" w:pos="567"/>
        </w:tabs>
        <w:spacing w:after="0" w:line="276" w:lineRule="auto"/>
        <w:ind w:left="0" w:firstLine="0"/>
        <w:rPr>
          <w:rFonts w:cstheme="minorHAnsi"/>
          <w:sz w:val="24"/>
          <w:szCs w:val="24"/>
        </w:rPr>
      </w:pPr>
      <w:r>
        <w:rPr>
          <w:rFonts w:cstheme="minorHAnsi"/>
          <w:sz w:val="24"/>
          <w:szCs w:val="24"/>
        </w:rPr>
        <w:t>Tarnyba prašo nurodyti pasirinktą kainodaros būdą, t. y. ar bus taikomas: fiksuotos kainos (Sutarties projekto 5.3</w:t>
      </w:r>
      <w:r>
        <w:rPr>
          <w:rStyle w:val="Puslapioinaosnuoroda"/>
          <w:rFonts w:cstheme="minorHAnsi"/>
          <w:sz w:val="24"/>
          <w:szCs w:val="24"/>
        </w:rPr>
        <w:footnoteReference w:id="8"/>
      </w:r>
      <w:r>
        <w:rPr>
          <w:rFonts w:cstheme="minorHAnsi"/>
          <w:sz w:val="24"/>
          <w:szCs w:val="24"/>
        </w:rPr>
        <w:t xml:space="preserve"> punktas) ar fiksuoto įkainio (Sutarties projekto 3.3.6</w:t>
      </w:r>
      <w:r>
        <w:rPr>
          <w:rStyle w:val="Puslapioinaosnuoroda"/>
          <w:rFonts w:cstheme="minorHAnsi"/>
          <w:sz w:val="24"/>
          <w:szCs w:val="24"/>
        </w:rPr>
        <w:footnoteReference w:id="9"/>
      </w:r>
      <w:r>
        <w:rPr>
          <w:rFonts w:cstheme="minorHAnsi"/>
          <w:sz w:val="24"/>
          <w:szCs w:val="24"/>
        </w:rPr>
        <w:t>)?</w:t>
      </w:r>
    </w:p>
    <w:p w14:paraId="76DD7DFD" w14:textId="77777777" w:rsidR="00615526" w:rsidRPr="003B7080" w:rsidRDefault="00615526" w:rsidP="00615526">
      <w:pPr>
        <w:pStyle w:val="Sraopastraipa"/>
        <w:numPr>
          <w:ilvl w:val="1"/>
          <w:numId w:val="1"/>
        </w:numPr>
        <w:tabs>
          <w:tab w:val="left" w:pos="567"/>
        </w:tabs>
        <w:spacing w:after="0" w:line="276" w:lineRule="auto"/>
        <w:ind w:left="0" w:firstLine="0"/>
        <w:rPr>
          <w:rFonts w:cstheme="minorHAnsi"/>
          <w:sz w:val="24"/>
          <w:szCs w:val="24"/>
        </w:rPr>
      </w:pPr>
      <w:r w:rsidRPr="003B7080">
        <w:rPr>
          <w:rFonts w:cstheme="minorHAnsi"/>
          <w:sz w:val="24"/>
          <w:szCs w:val="24"/>
        </w:rPr>
        <w:t>Tarnyba rekomenduoja tikslinti Sutarties projekto 13.2.1</w:t>
      </w:r>
      <w:r>
        <w:rPr>
          <w:rStyle w:val="Puslapioinaosnuoroda"/>
          <w:rFonts w:cstheme="minorHAnsi"/>
          <w:sz w:val="24"/>
          <w:szCs w:val="24"/>
        </w:rPr>
        <w:footnoteReference w:id="10"/>
      </w:r>
      <w:r w:rsidRPr="003B7080">
        <w:rPr>
          <w:rFonts w:cstheme="minorHAnsi"/>
          <w:sz w:val="24"/>
          <w:szCs w:val="24"/>
        </w:rPr>
        <w:t xml:space="preserve"> punktą, nes Sutarties projekto </w:t>
      </w:r>
      <w:r>
        <w:rPr>
          <w:rFonts w:cstheme="minorHAnsi"/>
          <w:sz w:val="24"/>
          <w:szCs w:val="24"/>
        </w:rPr>
        <w:t>9.9 ir 9.10 punktuose yra aptarta ne tik subrangovų, bet taip pat ir specialistų keitimo tvarka.</w:t>
      </w:r>
    </w:p>
    <w:p w14:paraId="2A37385D" w14:textId="77777777" w:rsidR="00615526" w:rsidRPr="007371B1" w:rsidRDefault="00615526" w:rsidP="00615526">
      <w:pPr>
        <w:pStyle w:val="Sraopastraipa"/>
        <w:numPr>
          <w:ilvl w:val="0"/>
          <w:numId w:val="1"/>
        </w:numPr>
        <w:tabs>
          <w:tab w:val="left" w:pos="426"/>
        </w:tabs>
        <w:spacing w:after="0" w:line="276" w:lineRule="auto"/>
        <w:ind w:left="0" w:firstLine="0"/>
        <w:rPr>
          <w:rFonts w:cstheme="minorHAnsi"/>
          <w:b/>
          <w:bCs/>
          <w:sz w:val="24"/>
          <w:szCs w:val="24"/>
        </w:rPr>
      </w:pPr>
      <w:r w:rsidRPr="007371B1">
        <w:rPr>
          <w:rFonts w:cstheme="minorHAnsi"/>
          <w:b/>
          <w:bCs/>
          <w:sz w:val="24"/>
          <w:szCs w:val="24"/>
        </w:rPr>
        <w:t>Dėl kitų Pirkimo dokumentų netikslumų</w:t>
      </w:r>
    </w:p>
    <w:p w14:paraId="237A1F87" w14:textId="77777777" w:rsidR="00615526" w:rsidRDefault="00615526" w:rsidP="00615526">
      <w:pPr>
        <w:spacing w:after="0" w:line="276" w:lineRule="auto"/>
        <w:rPr>
          <w:rFonts w:cstheme="minorHAnsi"/>
          <w:sz w:val="24"/>
          <w:szCs w:val="24"/>
        </w:rPr>
      </w:pPr>
      <w:r>
        <w:rPr>
          <w:rFonts w:cstheme="minorHAnsi"/>
          <w:sz w:val="24"/>
          <w:szCs w:val="24"/>
        </w:rPr>
        <w:t>Pasiūlymo formoje (Pirkimo sąlygų 6 priedas) antraštėje nurodyta, kad tiekėjai turi teikti „Mažos vertės skelbiamos apklausos &lt;...&gt; pasiūlymą“. Atsižvelgiant į tai, kad šiuo atveju vykdomas supaprastintas pirkimas, Tarnyba rekomenduoja tikslinti pasiūlymo formos antraštę.</w:t>
      </w:r>
    </w:p>
    <w:p w14:paraId="1F184C6C" w14:textId="77777777" w:rsidR="00615526" w:rsidRDefault="00615526" w:rsidP="00615526">
      <w:pPr>
        <w:spacing w:after="0" w:line="276" w:lineRule="auto"/>
        <w:rPr>
          <w:rFonts w:cstheme="minorHAnsi"/>
          <w:sz w:val="24"/>
          <w:szCs w:val="24"/>
        </w:rPr>
      </w:pPr>
    </w:p>
    <w:p w14:paraId="02387E90" w14:textId="77777777" w:rsidR="00615526" w:rsidRPr="00230F9F" w:rsidRDefault="00615526" w:rsidP="00615526">
      <w:pPr>
        <w:spacing w:after="0" w:line="276" w:lineRule="auto"/>
        <w:rPr>
          <w:rFonts w:cstheme="minorHAnsi"/>
          <w:sz w:val="24"/>
          <w:szCs w:val="24"/>
        </w:rPr>
      </w:pPr>
      <w:r w:rsidRPr="00230F9F">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6B0224CF" w14:textId="13A609F3" w:rsidR="00D64E2E" w:rsidRDefault="00615526" w:rsidP="00615526">
      <w:pPr>
        <w:spacing w:after="0" w:line="276" w:lineRule="auto"/>
      </w:pPr>
      <w:r w:rsidRPr="00230F9F">
        <w:rPr>
          <w:sz w:val="24"/>
          <w:szCs w:val="24"/>
        </w:rPr>
        <w:lastRenderedPageBreak/>
        <w:t>Pažymėtina, kad visais atvejais sprendimą dėl tolimesnio Pirkimų procedūrų vykdymo ar nutraukimo priima pati Perkančioji organizacija, vadovaudamasi Įstatymo 29 straipsnio 3</w:t>
      </w:r>
      <w:r w:rsidRPr="00230F9F">
        <w:rPr>
          <w:rFonts w:cstheme="minorHAnsi"/>
          <w:sz w:val="24"/>
          <w:szCs w:val="24"/>
          <w:vertAlign w:val="superscript"/>
        </w:rPr>
        <w:footnoteReference w:id="11"/>
      </w:r>
      <w:r w:rsidRPr="00230F9F">
        <w:rPr>
          <w:sz w:val="24"/>
          <w:szCs w:val="24"/>
        </w:rPr>
        <w:t xml:space="preserve"> ir 4</w:t>
      </w:r>
      <w:r w:rsidRPr="00230F9F">
        <w:rPr>
          <w:rFonts w:cstheme="minorHAnsi"/>
          <w:sz w:val="24"/>
          <w:szCs w:val="24"/>
          <w:vertAlign w:val="superscript"/>
        </w:rPr>
        <w:footnoteReference w:id="12"/>
      </w:r>
      <w:r w:rsidRPr="00230F9F">
        <w:rPr>
          <w:sz w:val="24"/>
          <w:szCs w:val="24"/>
          <w:vertAlign w:val="superscript"/>
        </w:rPr>
        <w:t xml:space="preserve"> </w:t>
      </w:r>
      <w:r w:rsidRPr="00230F9F">
        <w:rPr>
          <w:sz w:val="24"/>
          <w:szCs w:val="24"/>
        </w:rPr>
        <w:t>dalių nuostatomis.</w:t>
      </w:r>
    </w:p>
    <w:sectPr w:rsidR="00D64E2E" w:rsidSect="002E2D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F7D8" w14:textId="77777777" w:rsidR="002E2DB8" w:rsidRDefault="002E2DB8" w:rsidP="00615526">
      <w:pPr>
        <w:spacing w:after="0" w:line="240" w:lineRule="auto"/>
      </w:pPr>
      <w:r>
        <w:separator/>
      </w:r>
    </w:p>
  </w:endnote>
  <w:endnote w:type="continuationSeparator" w:id="0">
    <w:p w14:paraId="096AAA22" w14:textId="77777777" w:rsidR="002E2DB8" w:rsidRDefault="002E2DB8" w:rsidP="0061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B375" w14:textId="77777777" w:rsidR="002E2DB8" w:rsidRDefault="002E2DB8" w:rsidP="00615526">
      <w:pPr>
        <w:spacing w:after="0" w:line="240" w:lineRule="auto"/>
      </w:pPr>
      <w:r>
        <w:separator/>
      </w:r>
    </w:p>
  </w:footnote>
  <w:footnote w:type="continuationSeparator" w:id="0">
    <w:p w14:paraId="0685055E" w14:textId="77777777" w:rsidR="002E2DB8" w:rsidRDefault="002E2DB8" w:rsidP="00615526">
      <w:pPr>
        <w:spacing w:after="0" w:line="240" w:lineRule="auto"/>
      </w:pPr>
      <w:r>
        <w:continuationSeparator/>
      </w:r>
    </w:p>
  </w:footnote>
  <w:footnote w:id="1">
    <w:p w14:paraId="635FC4D7" w14:textId="77777777" w:rsidR="00615526" w:rsidRPr="00947C2A" w:rsidRDefault="00615526" w:rsidP="00615526">
      <w:pPr>
        <w:pStyle w:val="Puslapioinaostekstas"/>
        <w:rPr>
          <w:rFonts w:cstheme="minorHAnsi"/>
        </w:rPr>
      </w:pPr>
      <w:r w:rsidRPr="00947C2A">
        <w:rPr>
          <w:rStyle w:val="Puslapioinaosnuoroda"/>
          <w:rFonts w:cstheme="minorHAnsi"/>
        </w:rPr>
        <w:footnoteRef/>
      </w:r>
      <w:r w:rsidRPr="00947C2A">
        <w:rPr>
          <w:rFonts w:cstheme="minorHAnsi"/>
        </w:rPr>
        <w:t xml:space="preserve"> Tiekėjo kvalifikacijos reikalavimų nustatymo metodik</w:t>
      </w:r>
      <w:r>
        <w:rPr>
          <w:rFonts w:cstheme="minorHAnsi"/>
        </w:rPr>
        <w:t>a, p</w:t>
      </w:r>
      <w:r w:rsidRPr="00947C2A">
        <w:rPr>
          <w:rFonts w:cstheme="minorHAnsi"/>
        </w:rPr>
        <w:t>atvirtinta Viešųjų pirkimų tarnybos direktoriaus 2017 m. birželio 29 d. įsakymu Nr. 1S-105 „Dėl Tiekėjo kvalifikacijos reikalavimų nustatymo metodikos patvirtinimo“</w:t>
      </w:r>
      <w:r>
        <w:rPr>
          <w:rFonts w:cstheme="minorHAnsi"/>
        </w:rPr>
        <w:t xml:space="preserve"> (aktuali redakcija)</w:t>
      </w:r>
      <w:r w:rsidRPr="00947C2A">
        <w:rPr>
          <w:rFonts w:cstheme="minorHAnsi"/>
        </w:rPr>
        <w:t>.</w:t>
      </w:r>
    </w:p>
  </w:footnote>
  <w:footnote w:id="2">
    <w:p w14:paraId="6C0F621D" w14:textId="77777777" w:rsidR="00615526" w:rsidRPr="002246BE" w:rsidRDefault="00615526" w:rsidP="00615526">
      <w:pPr>
        <w:pStyle w:val="Bodytext2"/>
        <w:shd w:val="clear" w:color="auto" w:fill="auto"/>
        <w:tabs>
          <w:tab w:val="left" w:pos="1560"/>
        </w:tabs>
        <w:spacing w:before="0" w:line="240" w:lineRule="auto"/>
        <w:ind w:firstLine="0"/>
        <w:rPr>
          <w:rFonts w:asciiTheme="minorHAnsi" w:hAnsiTheme="minorHAnsi" w:cstheme="minorHAnsi"/>
          <w:color w:val="000000" w:themeColor="text1"/>
        </w:rPr>
      </w:pPr>
      <w:r w:rsidRPr="002246BE">
        <w:rPr>
          <w:rStyle w:val="Puslapioinaosnuoroda"/>
          <w:rFonts w:asciiTheme="minorHAnsi" w:hAnsiTheme="minorHAnsi" w:cstheme="minorHAnsi"/>
          <w:color w:val="000000" w:themeColor="text1"/>
        </w:rPr>
        <w:footnoteRef/>
      </w:r>
      <w:r w:rsidRPr="002246BE">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2246BE">
        <w:rPr>
          <w:rFonts w:asciiTheme="minorHAnsi" w:hAnsiTheme="minorHAnsi" w:cstheme="minorHAnsi"/>
          <w:color w:val="000000" w:themeColor="text1"/>
        </w:rPr>
        <w:t xml:space="preserve">8.4.4. </w:t>
      </w:r>
      <w:r w:rsidRPr="002246BE">
        <w:rPr>
          <w:rFonts w:asciiTheme="minorHAnsi" w:hAnsiTheme="minorHAnsi" w:cstheme="minorHAnsi"/>
          <w:b/>
          <w:bCs/>
          <w:color w:val="000000" w:themeColor="text1"/>
          <w:bdr w:val="none" w:sz="0" w:space="0" w:color="auto" w:frame="1"/>
          <w:shd w:val="clear" w:color="auto" w:fill="FFFFFF"/>
        </w:rPr>
        <w:t>darbų vykdymo metu būtų taikomos šios aplinkos apsaugos priemonės:</w:t>
      </w:r>
    </w:p>
    <w:p w14:paraId="2533F5F6" w14:textId="77777777" w:rsidR="00615526" w:rsidRDefault="00615526" w:rsidP="00615526">
      <w:pPr>
        <w:pStyle w:val="Bodytext2"/>
        <w:shd w:val="clear" w:color="auto" w:fill="auto"/>
        <w:tabs>
          <w:tab w:val="left" w:pos="709"/>
          <w:tab w:val="left" w:pos="1560"/>
        </w:tabs>
        <w:spacing w:before="0" w:line="240" w:lineRule="auto"/>
        <w:ind w:firstLine="0"/>
        <w:jc w:val="left"/>
        <w:rPr>
          <w:rFonts w:asciiTheme="minorHAnsi" w:hAnsiTheme="minorHAnsi" w:cstheme="minorHAnsi"/>
          <w:bdr w:val="none" w:sz="0" w:space="0" w:color="auto" w:frame="1"/>
        </w:rPr>
      </w:pPr>
      <w:r w:rsidRPr="0020188B">
        <w:rPr>
          <w:rFonts w:asciiTheme="minorHAnsi" w:hAnsiTheme="minorHAnsi" w:cstheme="minorHAnsi"/>
        </w:rPr>
        <w:t xml:space="preserve">8.4.4.1. </w:t>
      </w:r>
      <w:r w:rsidRPr="0020188B">
        <w:rPr>
          <w:rFonts w:asciiTheme="minorHAnsi" w:hAnsiTheme="minorHAnsi" w:cstheme="minorHAnsi"/>
          <w:b/>
          <w:bCs/>
          <w:bdr w:val="none" w:sz="0" w:space="0" w:color="auto" w:frame="1"/>
        </w:rPr>
        <w:t>darbų metu susidariusios atliekos (stiklas, popierius, plastikas, metalas, statybinis laužas ar kt.)</w:t>
      </w:r>
      <w:r w:rsidRPr="0020188B">
        <w:rPr>
          <w:rFonts w:asciiTheme="minorHAnsi" w:hAnsiTheme="minorHAnsi" w:cstheme="minorHAnsi"/>
          <w:bdr w:val="none" w:sz="0" w:space="0" w:color="auto" w:frame="1"/>
        </w:rPr>
        <w:t xml:space="preserve"> turi būti rūšiuojamos ir perduodamos atliekas tvarkančioms įmonėms. Įrodymui Rangovas kartu su Darbų perdavimo-priėmimo aktais turės pateikti </w:t>
      </w:r>
      <w:r w:rsidRPr="0020188B">
        <w:rPr>
          <w:rFonts w:asciiTheme="minorHAnsi" w:hAnsiTheme="minorHAnsi" w:cstheme="minorHAnsi"/>
          <w:b/>
          <w:bCs/>
          <w:bdr w:val="none" w:sz="0" w:space="0" w:color="auto" w:frame="1"/>
        </w:rPr>
        <w:t>deklaraciją arba kitus lygiaverčius įrodymus</w:t>
      </w:r>
      <w:r w:rsidRPr="0020188B">
        <w:rPr>
          <w:rFonts w:asciiTheme="minorHAnsi" w:hAnsiTheme="minorHAnsi" w:cstheme="minorHAnsi"/>
          <w:bdr w:val="none" w:sz="0" w:space="0" w:color="auto" w:frame="1"/>
        </w:rPr>
        <w:t xml:space="preserve"> (pavyzdžiui, sutartis su atliekų tvarkytojais, surinkėjais, atliekų vežimo lydraščius, atliekų perdirbimo aktus), kad susidariusios atliekos (stiklas, popierius, plastikas, metalas ar kt.) buvo rūšiuojamos ir perduodamos atliekas tvarkančioms įmonėms;</w:t>
      </w:r>
    </w:p>
    <w:p w14:paraId="556FA8EB" w14:textId="77777777" w:rsidR="00615526" w:rsidRDefault="00615526" w:rsidP="00615526">
      <w:pPr>
        <w:pStyle w:val="Bodytext2"/>
        <w:shd w:val="clear" w:color="auto" w:fill="auto"/>
        <w:tabs>
          <w:tab w:val="left" w:pos="709"/>
          <w:tab w:val="left" w:pos="1560"/>
        </w:tabs>
        <w:spacing w:before="0" w:line="240" w:lineRule="auto"/>
        <w:ind w:firstLine="0"/>
        <w:jc w:val="left"/>
      </w:pPr>
      <w:r w:rsidRPr="00D36DFA">
        <w:rPr>
          <w:rFonts w:asciiTheme="minorHAnsi" w:hAnsiTheme="minorHAnsi" w:cstheme="minorHAnsi"/>
          <w:bdr w:val="none" w:sz="0" w:space="0" w:color="auto" w:frame="1"/>
        </w:rPr>
        <w:t xml:space="preserve">8.4.4.2. rangovo naudojamos technikos saugojimo vietoje ir Darbų vykdymo vietoje negali būti tepalų ar kitų kenksmingų skysčių nuotekų. Rangovas turi užtikrinti Rangovo naudojamos technikos saugojimo vietoje ir Darbų vykdymo vietoje pastebėti tepalų ar kitų kenksmingų skysčių nuotėkiai būtų nedelsiant pašalinti. Įrodymui Rangovas kartu su Darbų perdavimo-priėmimo aktais turės pateikti </w:t>
      </w:r>
      <w:r w:rsidRPr="00D36DFA">
        <w:rPr>
          <w:rFonts w:asciiTheme="minorHAnsi" w:hAnsiTheme="minorHAnsi" w:cstheme="minorHAnsi"/>
          <w:b/>
          <w:bCs/>
          <w:bdr w:val="none" w:sz="0" w:space="0" w:color="auto" w:frame="1"/>
        </w:rPr>
        <w:t>deklaraciją arba kitus lygiaverčius įrodymus</w:t>
      </w:r>
      <w:r w:rsidRPr="00D36DFA">
        <w:rPr>
          <w:rFonts w:asciiTheme="minorHAnsi" w:hAnsiTheme="minorHAnsi" w:cstheme="minorHAnsi"/>
          <w:bdr w:val="none" w:sz="0" w:space="0" w:color="auto" w:frame="1"/>
        </w:rPr>
        <w:t xml:space="preserve"> (pavyzdžiui, sutartis su atliekų tvarkytojais, surinkėjais), kad </w:t>
      </w:r>
      <w:r w:rsidRPr="00D36DFA">
        <w:rPr>
          <w:rFonts w:asciiTheme="minorHAnsi" w:hAnsiTheme="minorHAnsi" w:cstheme="minorHAnsi"/>
          <w:b/>
          <w:bCs/>
          <w:bdr w:val="none" w:sz="0" w:space="0" w:color="auto" w:frame="1"/>
        </w:rPr>
        <w:t>tepalai ar kiti kenksmingi skysčiai kartu su užterštu gruntu buvo surinkti ir perduoti atliekas tvarkančioms įmonėms</w:t>
      </w:r>
      <w:r w:rsidRPr="00D36DFA">
        <w:rPr>
          <w:rFonts w:asciiTheme="minorHAnsi" w:hAnsiTheme="minorHAnsi" w:cstheme="minorHAnsi"/>
          <w:bdr w:val="none" w:sz="0" w:space="0" w:color="auto" w:frame="1"/>
        </w:rPr>
        <w:t>“</w:t>
      </w:r>
      <w:r>
        <w:rPr>
          <w:rFonts w:asciiTheme="minorHAnsi" w:hAnsiTheme="minorHAnsi" w:cstheme="minorHAnsi"/>
          <w:bdr w:val="none" w:sz="0" w:space="0" w:color="auto" w:frame="1"/>
        </w:rPr>
        <w:t>.</w:t>
      </w:r>
    </w:p>
  </w:footnote>
  <w:footnote w:id="3">
    <w:p w14:paraId="37B0354F" w14:textId="77777777" w:rsidR="00615526" w:rsidRPr="00F9627D" w:rsidRDefault="00615526" w:rsidP="00615526">
      <w:pPr>
        <w:pStyle w:val="Bodytext2"/>
        <w:shd w:val="clear" w:color="auto" w:fill="auto"/>
        <w:tabs>
          <w:tab w:val="left" w:pos="709"/>
        </w:tabs>
        <w:spacing w:before="0" w:line="240" w:lineRule="auto"/>
        <w:ind w:firstLine="0"/>
        <w:jc w:val="left"/>
        <w:rPr>
          <w:rFonts w:asciiTheme="minorHAnsi" w:hAnsiTheme="minorHAnsi" w:cstheme="minorHAnsi"/>
        </w:rPr>
      </w:pPr>
      <w:r w:rsidRPr="00F9627D">
        <w:rPr>
          <w:rStyle w:val="Puslapioinaosnuoroda"/>
          <w:rFonts w:asciiTheme="minorHAnsi" w:hAnsiTheme="minorHAnsi" w:cstheme="minorHAnsi"/>
        </w:rPr>
        <w:footnoteRef/>
      </w:r>
      <w:r w:rsidRPr="00F9627D">
        <w:rPr>
          <w:rFonts w:asciiTheme="minorHAnsi" w:hAnsiTheme="minorHAnsi" w:cstheme="minorHAnsi"/>
        </w:rPr>
        <w:t xml:space="preserve"> </w:t>
      </w:r>
      <w:r w:rsidRPr="00F9627D">
        <w:rPr>
          <w:rFonts w:asciiTheme="minorHAnsi" w:hAnsiTheme="minorHAnsi" w:cstheme="minorHAnsi"/>
        </w:rPr>
        <w:t>„</w:t>
      </w:r>
      <w:r w:rsidRPr="00F9627D">
        <w:rPr>
          <w:rFonts w:asciiTheme="minorHAnsi" w:hAnsiTheme="minorHAnsi" w:cstheme="minorHAnsi"/>
          <w:color w:val="000000"/>
          <w:lang w:eastAsia="lt-LT" w:bidi="lt-LT"/>
        </w:rPr>
        <w:t>16.4.</w:t>
      </w:r>
      <w:r>
        <w:rPr>
          <w:rFonts w:asciiTheme="minorHAnsi" w:hAnsiTheme="minorHAnsi" w:cstheme="minorHAnsi"/>
          <w:color w:val="000000"/>
          <w:lang w:eastAsia="lt-LT" w:bidi="lt-LT"/>
        </w:rPr>
        <w:t xml:space="preserve"> </w:t>
      </w:r>
      <w:r w:rsidRPr="00F9627D">
        <w:rPr>
          <w:rFonts w:asciiTheme="minorHAnsi" w:hAnsiTheme="minorHAnsi" w:cstheme="minorHAnsi"/>
          <w:color w:val="000000"/>
          <w:lang w:eastAsia="lt-LT" w:bidi="lt-LT"/>
        </w:rPr>
        <w:t xml:space="preserve">Jei Užsakovas pasinaudoja Sutarties įvykdymo užtikrinimu, Rangovas, siekdamas toliau vykdyti Sutarties įsipareigojimus, privalo </w:t>
      </w:r>
      <w:r w:rsidRPr="00F9627D">
        <w:rPr>
          <w:rFonts w:asciiTheme="minorHAnsi" w:hAnsiTheme="minorHAnsi" w:cstheme="minorHAnsi"/>
          <w:b/>
          <w:bCs/>
          <w:color w:val="000000"/>
          <w:lang w:eastAsia="lt-LT" w:bidi="lt-LT"/>
        </w:rPr>
        <w:t>per 7 (septynias) darbo dienas</w:t>
      </w:r>
      <w:r w:rsidRPr="00F9627D">
        <w:rPr>
          <w:rFonts w:asciiTheme="minorHAnsi" w:hAnsiTheme="minorHAnsi" w:cstheme="minorHAnsi"/>
          <w:color w:val="000000"/>
          <w:lang w:eastAsia="lt-LT" w:bidi="lt-LT"/>
        </w:rPr>
        <w:t xml:space="preserve"> pateikti Užsakovui naują Sutarties įvykdymo užtikrinimą Pirkimo dokumentuose nustatytomis sąlygomis“.</w:t>
      </w:r>
    </w:p>
  </w:footnote>
  <w:footnote w:id="4">
    <w:p w14:paraId="7DF9EDCA" w14:textId="77777777" w:rsidR="00615526" w:rsidRDefault="00615526" w:rsidP="00615526">
      <w:pPr>
        <w:pStyle w:val="Puslapioinaostekstas"/>
      </w:pPr>
      <w:r>
        <w:rPr>
          <w:rStyle w:val="Puslapioinaosnuoroda"/>
        </w:rPr>
        <w:footnoteRef/>
      </w:r>
      <w:r>
        <w:t xml:space="preserve"> </w:t>
      </w:r>
      <w:r w:rsidRPr="00186FB1">
        <w:t>Įstatymo 35 straipsnio 4 dalies nuostata</w:t>
      </w:r>
      <w:r>
        <w:t>:</w:t>
      </w:r>
      <w:r w:rsidRPr="00186FB1">
        <w:t xml:space="preserve"> „Pirkimo dokumentai turi būti tikslūs, aiškūs, be dviprasmybių, kad tiekėjai galėtų pateikti pasiūlymus, o perkančioji organizacija – nupirkti tai, ko reikia“</w:t>
      </w:r>
      <w:r>
        <w:t>.</w:t>
      </w:r>
    </w:p>
  </w:footnote>
  <w:footnote w:id="5">
    <w:p w14:paraId="78245345" w14:textId="77777777" w:rsidR="00615526" w:rsidRPr="00E1381C" w:rsidRDefault="00615526" w:rsidP="00615526">
      <w:pPr>
        <w:pStyle w:val="Sraopastraipa"/>
        <w:tabs>
          <w:tab w:val="left" w:pos="851"/>
        </w:tabs>
        <w:suppressAutoHyphens/>
        <w:autoSpaceDN w:val="0"/>
        <w:spacing w:after="0" w:line="240" w:lineRule="auto"/>
        <w:ind w:left="0"/>
        <w:textAlignment w:val="baseline"/>
        <w:rPr>
          <w:sz w:val="20"/>
          <w:szCs w:val="20"/>
        </w:rPr>
      </w:pPr>
      <w:r w:rsidRPr="00E1381C">
        <w:rPr>
          <w:rStyle w:val="Puslapioinaosnuoroda"/>
          <w:sz w:val="20"/>
          <w:szCs w:val="20"/>
        </w:rPr>
        <w:footnoteRef/>
      </w:r>
      <w:r w:rsidRPr="00E1381C">
        <w:rPr>
          <w:sz w:val="20"/>
          <w:szCs w:val="20"/>
        </w:rPr>
        <w:t xml:space="preserve"> </w:t>
      </w:r>
      <w:r w:rsidRPr="00E1381C">
        <w:rPr>
          <w:sz w:val="20"/>
          <w:szCs w:val="20"/>
        </w:rPr>
        <w:t>„</w:t>
      </w:r>
      <w:r w:rsidRPr="00E1381C">
        <w:rPr>
          <w:rFonts w:cstheme="minorHAnsi"/>
          <w:sz w:val="20"/>
          <w:szCs w:val="20"/>
        </w:rPr>
        <w:t>3.3.7</w:t>
      </w:r>
      <w:r w:rsidRPr="00E1381C">
        <w:rPr>
          <w:rFonts w:cstheme="minorHAnsi"/>
          <w:b/>
          <w:bCs/>
          <w:sz w:val="20"/>
          <w:szCs w:val="20"/>
        </w:rPr>
        <w:t xml:space="preserve">. </w:t>
      </w:r>
      <w:r w:rsidRPr="00E1381C">
        <w:rPr>
          <w:rFonts w:eastAsia="MS Mincho" w:cstheme="minorHAnsi"/>
          <w:b/>
          <w:bCs/>
          <w:sz w:val="20"/>
          <w:szCs w:val="20"/>
        </w:rPr>
        <w:t>gerai išanalizavo ir suprato Darbų pobūdį bei jų apimtį pagal Techninę specifikaciją</w:t>
      </w:r>
      <w:r w:rsidRPr="00E1381C">
        <w:rPr>
          <w:rFonts w:eastAsia="MS Mincho" w:cstheme="minorHAnsi"/>
          <w:sz w:val="20"/>
          <w:szCs w:val="20"/>
        </w:rPr>
        <w:t xml:space="preserve">,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 prieš pasirašant Sutartį, jis, būdamas savo srities profesionalu, </w:t>
      </w:r>
      <w:r w:rsidRPr="00E1381C">
        <w:rPr>
          <w:rFonts w:eastAsia="MS Mincho" w:cstheme="minorHAnsi"/>
          <w:b/>
          <w:bCs/>
          <w:sz w:val="20"/>
          <w:szCs w:val="20"/>
        </w:rPr>
        <w:t>išsamiai išanalizavo, patikrino Techninėje specifikacijoje nurodytus medžiagų ir Darbų kiekius bei apimtis</w:t>
      </w:r>
      <w:r w:rsidRPr="00E1381C">
        <w:rPr>
          <w:rFonts w:eastAsia="MS Mincho" w:cstheme="minorHAnsi"/>
          <w:sz w:val="20"/>
          <w:szCs w:val="20"/>
        </w:rPr>
        <w:t>, įvertino visus pagrindinius, tarpinius darbus, reikalingus pagal Sutartį numatytiems Darbams atlikti, turėjo galimybę raštu pateikti visas pastabas Užsakovui“.</w:t>
      </w:r>
    </w:p>
  </w:footnote>
  <w:footnote w:id="6">
    <w:p w14:paraId="249B65B2" w14:textId="77777777" w:rsidR="00615526" w:rsidRPr="00E1381C" w:rsidRDefault="00615526" w:rsidP="00615526">
      <w:pPr>
        <w:pStyle w:val="Sraopastraipa"/>
        <w:tabs>
          <w:tab w:val="left" w:pos="851"/>
          <w:tab w:val="left" w:pos="1560"/>
        </w:tabs>
        <w:suppressAutoHyphens/>
        <w:autoSpaceDN w:val="0"/>
        <w:spacing w:after="0" w:line="240" w:lineRule="auto"/>
        <w:ind w:left="0"/>
        <w:textAlignment w:val="baseline"/>
        <w:rPr>
          <w:rFonts w:cstheme="minorHAnsi"/>
          <w:sz w:val="20"/>
          <w:szCs w:val="20"/>
        </w:rPr>
      </w:pPr>
      <w:r w:rsidRPr="00E1381C">
        <w:rPr>
          <w:rStyle w:val="Puslapioinaosnuoroda"/>
          <w:rFonts w:cstheme="minorHAnsi"/>
          <w:sz w:val="20"/>
          <w:szCs w:val="20"/>
        </w:rPr>
        <w:footnoteRef/>
      </w:r>
      <w:r w:rsidRPr="00E1381C">
        <w:rPr>
          <w:rFonts w:cstheme="minorHAnsi"/>
          <w:sz w:val="20"/>
          <w:szCs w:val="20"/>
        </w:rPr>
        <w:t xml:space="preserve"> </w:t>
      </w:r>
      <w:r w:rsidRPr="00E1381C">
        <w:rPr>
          <w:rFonts w:cstheme="minorHAnsi"/>
          <w:sz w:val="20"/>
          <w:szCs w:val="20"/>
        </w:rPr>
        <w:t xml:space="preserve">„3.3.8. </w:t>
      </w:r>
      <w:r w:rsidRPr="00E1381C">
        <w:rPr>
          <w:rFonts w:eastAsia="MS Mincho" w:cstheme="minorHAnsi"/>
          <w:b/>
          <w:bCs/>
          <w:sz w:val="20"/>
          <w:szCs w:val="20"/>
        </w:rPr>
        <w:t>iki Sutarties pasirašymo gavo Darbams pradėti būtinus dokumentus,</w:t>
      </w:r>
      <w:r w:rsidRPr="00E1381C">
        <w:rPr>
          <w:rFonts w:eastAsia="MS Mincho" w:cstheme="minorHAnsi"/>
          <w:sz w:val="20"/>
          <w:szCs w:val="20"/>
        </w:rPr>
        <w:t xml:space="preserve"> su kuriais jis išsamiai, kaip savo srities profesionalas, susipažino ir jokių klausimų ar neaiškumų dėl jų neturi“.</w:t>
      </w:r>
    </w:p>
  </w:footnote>
  <w:footnote w:id="7">
    <w:p w14:paraId="7899193B" w14:textId="77777777" w:rsidR="00615526" w:rsidRPr="00DC1A71" w:rsidRDefault="00615526" w:rsidP="00615526">
      <w:pPr>
        <w:pStyle w:val="Puslapioinaostekstas"/>
        <w:rPr>
          <w:rFonts w:cstheme="minorHAnsi"/>
        </w:rPr>
      </w:pPr>
      <w:r w:rsidRPr="00DC1A71">
        <w:rPr>
          <w:rStyle w:val="Puslapioinaosnuoroda"/>
          <w:rFonts w:cstheme="minorHAnsi"/>
        </w:rPr>
        <w:footnoteRef/>
      </w:r>
      <w:r w:rsidRPr="00DC1A71">
        <w:rPr>
          <w:rFonts w:cstheme="minorHAnsi"/>
        </w:rPr>
        <w:t xml:space="preserve"> </w:t>
      </w:r>
      <w:r w:rsidRPr="00DC1A71">
        <w:rPr>
          <w:rFonts w:cstheme="minorHAnsi"/>
        </w:rPr>
        <w:t xml:space="preserve">„3.3.6. </w:t>
      </w:r>
      <w:r w:rsidRPr="00DC1A71">
        <w:rPr>
          <w:rFonts w:eastAsia="MS Mincho" w:cstheme="minorHAnsi"/>
        </w:rPr>
        <w:t>Lokalinėse sąmatose</w:t>
      </w:r>
      <w:r w:rsidRPr="00DC1A71">
        <w:rPr>
          <w:rFonts w:eastAsia="MS Mincho" w:cstheme="minorHAnsi"/>
          <w:color w:val="000000"/>
        </w:rPr>
        <w:t>, &lt;...&gt;</w:t>
      </w:r>
      <w:r w:rsidRPr="00DC1A71">
        <w:rPr>
          <w:rFonts w:eastAsia="MS Mincho" w:cstheme="minorHAnsi"/>
        </w:rPr>
        <w:t xml:space="preserve">, </w:t>
      </w:r>
      <w:r w:rsidRPr="00DC1A71">
        <w:rPr>
          <w:rFonts w:eastAsia="MS Mincho" w:cstheme="minorHAnsi"/>
          <w:color w:val="000000"/>
        </w:rPr>
        <w:t xml:space="preserve">Rangovo nurodyto kiekvieno Darbo mato vieneto </w:t>
      </w:r>
      <w:r w:rsidRPr="008150AA">
        <w:rPr>
          <w:rFonts w:eastAsia="MS Mincho" w:cstheme="minorHAnsi"/>
          <w:b/>
          <w:bCs/>
          <w:color w:val="000000"/>
        </w:rPr>
        <w:t>fiksuotas įkainis</w:t>
      </w:r>
      <w:r w:rsidRPr="00DC1A71">
        <w:rPr>
          <w:rFonts w:eastAsia="MS Mincho" w:cstheme="minorHAnsi"/>
          <w:color w:val="000000"/>
        </w:rPr>
        <w:t xml:space="preserve"> apima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DC1A71">
        <w:rPr>
          <w:rFonts w:eastAsia="MS Mincho" w:cstheme="minorHAnsi"/>
        </w:rPr>
        <w:t>apibrėžtus Sutartyje ar atsirandančius ją vykdant“.</w:t>
      </w:r>
    </w:p>
  </w:footnote>
  <w:footnote w:id="8">
    <w:p w14:paraId="2469D5C9" w14:textId="77777777" w:rsidR="00615526" w:rsidRPr="00171806" w:rsidRDefault="00615526" w:rsidP="00615526">
      <w:pPr>
        <w:pStyle w:val="Puslapioinaostekstas"/>
        <w:rPr>
          <w:rFonts w:cstheme="minorHAnsi"/>
        </w:rPr>
      </w:pPr>
      <w:r>
        <w:rPr>
          <w:rStyle w:val="Puslapioinaosnuoroda"/>
        </w:rPr>
        <w:footnoteRef/>
      </w:r>
      <w:r>
        <w:t xml:space="preserve"> </w:t>
      </w:r>
      <w:r>
        <w:t>„</w:t>
      </w:r>
      <w:r w:rsidRPr="00171806">
        <w:rPr>
          <w:rFonts w:cstheme="minorHAnsi"/>
        </w:rPr>
        <w:t xml:space="preserve">5.3. Šiai Sutarčiai taikoma </w:t>
      </w:r>
      <w:r w:rsidRPr="00171806">
        <w:rPr>
          <w:rFonts w:cstheme="minorHAnsi"/>
          <w:b/>
          <w:bCs/>
        </w:rPr>
        <w:t>fiksuotos kainos kainodara</w:t>
      </w:r>
      <w:r w:rsidRPr="00171806">
        <w:rPr>
          <w:rFonts w:cstheme="minorHAnsi"/>
        </w:rPr>
        <w:t>“.</w:t>
      </w:r>
    </w:p>
  </w:footnote>
  <w:footnote w:id="9">
    <w:p w14:paraId="0B3B427C" w14:textId="77777777" w:rsidR="00615526" w:rsidRDefault="00615526" w:rsidP="00615526">
      <w:pPr>
        <w:pStyle w:val="Puslapioinaostekstas"/>
      </w:pPr>
      <w:r>
        <w:rPr>
          <w:rStyle w:val="Puslapioinaosnuoroda"/>
        </w:rPr>
        <w:footnoteRef/>
      </w:r>
      <w:r>
        <w:t xml:space="preserve"> </w:t>
      </w:r>
      <w:r w:rsidRPr="00DC1A71">
        <w:rPr>
          <w:rFonts w:cstheme="minorHAnsi"/>
        </w:rPr>
        <w:t xml:space="preserve">„3.3.6. </w:t>
      </w:r>
      <w:r w:rsidRPr="00DC1A71">
        <w:rPr>
          <w:rFonts w:eastAsia="MS Mincho" w:cstheme="minorHAnsi"/>
          <w:color w:val="000000"/>
        </w:rPr>
        <w:t>&lt;...&gt;</w:t>
      </w:r>
      <w:r w:rsidRPr="00DC1A71">
        <w:rPr>
          <w:rFonts w:eastAsia="MS Mincho" w:cstheme="minorHAnsi"/>
        </w:rPr>
        <w:t xml:space="preserve">, </w:t>
      </w:r>
      <w:r w:rsidRPr="00DC1A71">
        <w:rPr>
          <w:rFonts w:eastAsia="MS Mincho" w:cstheme="minorHAnsi"/>
          <w:color w:val="000000"/>
        </w:rPr>
        <w:t xml:space="preserve">Rangovo nurodyto kiekvieno Darbo mato vieneto </w:t>
      </w:r>
      <w:r w:rsidRPr="008150AA">
        <w:rPr>
          <w:rFonts w:eastAsia="MS Mincho" w:cstheme="minorHAnsi"/>
          <w:b/>
          <w:bCs/>
          <w:color w:val="000000"/>
        </w:rPr>
        <w:t>fiksuotas įkainis</w:t>
      </w:r>
      <w:r w:rsidRPr="00DC1A71">
        <w:rPr>
          <w:rFonts w:eastAsia="MS Mincho" w:cstheme="minorHAnsi"/>
          <w:color w:val="000000"/>
        </w:rPr>
        <w:t xml:space="preserve"> apima </w:t>
      </w:r>
      <w:r>
        <w:rPr>
          <w:rFonts w:eastAsia="MS Mincho" w:cstheme="minorHAnsi"/>
          <w:color w:val="000000"/>
        </w:rPr>
        <w:t>&lt;...&gt;“.</w:t>
      </w:r>
    </w:p>
  </w:footnote>
  <w:footnote w:id="10">
    <w:p w14:paraId="7B7246F1" w14:textId="77777777" w:rsidR="00615526" w:rsidRPr="00E1381C" w:rsidRDefault="00615526" w:rsidP="00615526">
      <w:pPr>
        <w:widowControl w:val="0"/>
        <w:tabs>
          <w:tab w:val="left" w:pos="0"/>
          <w:tab w:val="left" w:pos="1701"/>
        </w:tabs>
        <w:suppressAutoHyphens/>
        <w:autoSpaceDN w:val="0"/>
        <w:spacing w:after="0" w:line="240" w:lineRule="auto"/>
        <w:jc w:val="both"/>
        <w:textAlignment w:val="baseline"/>
        <w:rPr>
          <w:sz w:val="20"/>
          <w:szCs w:val="20"/>
        </w:rPr>
      </w:pPr>
      <w:r w:rsidRPr="00E1381C">
        <w:rPr>
          <w:rStyle w:val="Puslapioinaosnuoroda"/>
          <w:rFonts w:cstheme="minorHAnsi"/>
          <w:sz w:val="20"/>
          <w:szCs w:val="20"/>
        </w:rPr>
        <w:footnoteRef/>
      </w:r>
      <w:r w:rsidRPr="00E1381C">
        <w:rPr>
          <w:rFonts w:cstheme="minorHAnsi"/>
          <w:sz w:val="20"/>
          <w:szCs w:val="20"/>
        </w:rPr>
        <w:t xml:space="preserve"> </w:t>
      </w:r>
      <w:r w:rsidRPr="00E1381C">
        <w:rPr>
          <w:rFonts w:cstheme="minorHAnsi"/>
          <w:sz w:val="20"/>
          <w:szCs w:val="20"/>
        </w:rPr>
        <w:t>„</w:t>
      </w:r>
      <w:r w:rsidRPr="00E1381C">
        <w:rPr>
          <w:rFonts w:eastAsia="Microsoft Sans Serif" w:cstheme="minorHAnsi"/>
          <w:color w:val="000000"/>
          <w:sz w:val="20"/>
          <w:szCs w:val="20"/>
          <w:lang w:eastAsia="lt-LT" w:bidi="lt-LT"/>
        </w:rPr>
        <w:t xml:space="preserve">13.2.1.Subrangovų keitimą reguliuoja </w:t>
      </w:r>
      <w:r w:rsidRPr="00E1381C">
        <w:rPr>
          <w:rFonts w:eastAsia="Microsoft Sans Serif" w:cstheme="minorHAnsi"/>
          <w:sz w:val="20"/>
          <w:szCs w:val="20"/>
          <w:lang w:eastAsia="lt-LT" w:bidi="lt-LT"/>
        </w:rPr>
        <w:t>Sutarties 9.9 ir 9.10 p.“.</w:t>
      </w:r>
    </w:p>
  </w:footnote>
  <w:footnote w:id="11">
    <w:p w14:paraId="6A1878B8" w14:textId="77777777" w:rsidR="00615526" w:rsidRPr="00914700" w:rsidRDefault="00615526" w:rsidP="00615526">
      <w:pPr>
        <w:pStyle w:val="Puslapioinaostekstas"/>
        <w:rPr>
          <w:rFonts w:cstheme="minorHAnsi"/>
        </w:rPr>
      </w:pPr>
      <w:r w:rsidRPr="00914700">
        <w:rPr>
          <w:rStyle w:val="Puslapioinaosnuoroda"/>
          <w:rFonts w:cstheme="minorHAnsi"/>
        </w:rPr>
        <w:footnoteRef/>
      </w:r>
      <w:r w:rsidRPr="00914700">
        <w:rPr>
          <w:rFonts w:cstheme="minorHAnsi"/>
        </w:rPr>
        <w:t xml:space="preserve"> </w:t>
      </w:r>
      <w:r w:rsidRPr="00914700">
        <w:rPr>
          <w:rFonts w:cstheme="minorHAnsi"/>
        </w:rPr>
        <w:t>Įstatymo 29 straipsnio 3 dalis „</w:t>
      </w:r>
      <w:r w:rsidRPr="007A6426">
        <w:rPr>
          <w:rFonts w:cstheme="minorHAnsi"/>
          <w:i/>
          <w:iCs/>
        </w:rPr>
        <w:t>Perkančioji organizacija privalo nutraukti pradėtas pirkimo ar projekto konkurso procedūras, jeigu buvo pažeisti šio įstatymo 17 straipsnio 1 dalyje nustatyti principai ir atitinkamos padėties negalima ištaisyti</w:t>
      </w:r>
      <w:r w:rsidRPr="00914700">
        <w:rPr>
          <w:rFonts w:cstheme="minorHAnsi"/>
        </w:rPr>
        <w:t>“.</w:t>
      </w:r>
    </w:p>
  </w:footnote>
  <w:footnote w:id="12">
    <w:p w14:paraId="47DC1DB5" w14:textId="77777777" w:rsidR="00615526" w:rsidRPr="00914700" w:rsidRDefault="00615526" w:rsidP="00615526">
      <w:pPr>
        <w:pStyle w:val="Puslapioinaostekstas"/>
        <w:rPr>
          <w:rFonts w:cstheme="minorHAnsi"/>
        </w:rPr>
      </w:pPr>
      <w:r w:rsidRPr="00914700">
        <w:rPr>
          <w:rStyle w:val="Puslapioinaosnuoroda"/>
          <w:rFonts w:cstheme="minorHAnsi"/>
        </w:rPr>
        <w:footnoteRef/>
      </w:r>
      <w:r w:rsidRPr="00914700">
        <w:rPr>
          <w:rFonts w:cstheme="minorHAnsi"/>
        </w:rPr>
        <w:t xml:space="preserve"> </w:t>
      </w:r>
      <w:r w:rsidRPr="00914700">
        <w:rPr>
          <w:rFonts w:cstheme="minorHAnsi"/>
        </w:rPr>
        <w:t>Įstatymo 29 straipsnio 4 dalis „</w:t>
      </w:r>
      <w:r w:rsidRPr="007A6426">
        <w:rPr>
          <w:rFonts w:cstheme="minorHAnsi"/>
          <w:i/>
          <w:iCs/>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14700">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C4599"/>
    <w:multiLevelType w:val="multilevel"/>
    <w:tmpl w:val="37E0F1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b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1644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26"/>
    <w:rsid w:val="002E2DB8"/>
    <w:rsid w:val="005F6BBB"/>
    <w:rsid w:val="00615526"/>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EE53"/>
  <w15:chartTrackingRefBased/>
  <w15:docId w15:val="{927A7FF3-7C49-4F27-8C5B-1698445D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5526"/>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5526"/>
    <w:rPr>
      <w:color w:val="0563C1" w:themeColor="hyperlink"/>
      <w:u w:val="singl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615526"/>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615526"/>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615526"/>
    <w:rPr>
      <w:vertAlign w:val="superscript"/>
    </w:rPr>
  </w:style>
  <w:style w:type="paragraph" w:customStyle="1" w:styleId="paragraph">
    <w:name w:val="paragraph"/>
    <w:basedOn w:val="prastasis"/>
    <w:rsid w:val="0061552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qFormat/>
    <w:rsid w:val="0061552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615526"/>
    <w:rPr>
      <w:kern w:val="0"/>
      <w:lang w:val="lt-LT"/>
      <w14:ligatures w14:val="none"/>
    </w:rPr>
  </w:style>
  <w:style w:type="character" w:customStyle="1" w:styleId="markedcontent">
    <w:name w:val="markedcontent"/>
    <w:rsid w:val="00615526"/>
  </w:style>
  <w:style w:type="character" w:customStyle="1" w:styleId="FontStyle14">
    <w:name w:val="Font Style14"/>
    <w:uiPriority w:val="99"/>
    <w:rsid w:val="00615526"/>
    <w:rPr>
      <w:rFonts w:ascii="Times New Roman" w:hAnsi="Times New Roman" w:cs="Times New Roman"/>
      <w:sz w:val="18"/>
      <w:szCs w:val="18"/>
    </w:rPr>
  </w:style>
  <w:style w:type="paragraph" w:customStyle="1" w:styleId="Bodytext2">
    <w:name w:val="Body text (2)"/>
    <w:basedOn w:val="prastasis"/>
    <w:rsid w:val="00615526"/>
    <w:pPr>
      <w:widowControl w:val="0"/>
      <w:shd w:val="clear" w:color="auto" w:fill="FFFFFF"/>
      <w:suppressAutoHyphens/>
      <w:autoSpaceDN w:val="0"/>
      <w:spacing w:before="120" w:after="0" w:line="230" w:lineRule="exact"/>
      <w:ind w:hanging="740"/>
      <w:jc w:val="both"/>
      <w:textAlignment w:val="baseline"/>
    </w:pPr>
    <w:rPr>
      <w:rFonts w:ascii="Microsoft Sans Serif" w:eastAsia="Microsoft Sans Serif" w:hAnsi="Microsoft Sans Serif" w:cs="Microsoft Sans Serif"/>
      <w:sz w:val="20"/>
      <w:szCs w:val="20"/>
    </w:rPr>
  </w:style>
  <w:style w:type="paragraph" w:styleId="HTMLiankstoformatuotas">
    <w:name w:val="HTML Preformatted"/>
    <w:basedOn w:val="prastasis"/>
    <w:link w:val="HTMLiankstoformatuotasDiagrama"/>
    <w:uiPriority w:val="99"/>
    <w:unhideWhenUsed/>
    <w:rsid w:val="0061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15526"/>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CVP%20IS_CVPP_pakeitimai.pdf" TargetMode="Externa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8412</Words>
  <Characters>4795</Characters>
  <Application>Microsoft Office Word</Application>
  <DocSecurity>0</DocSecurity>
  <Lines>39</Lines>
  <Paragraphs>26</Paragraphs>
  <ScaleCrop>false</ScaleCrop>
  <Company>VPT</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2024-03-28T15:04:00Z</dcterms:created>
  <dcterms:modified xsi:type="dcterms:W3CDTF">2024-03-28T15:06:00Z</dcterms:modified>
</cp:coreProperties>
</file>